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</w:t>
      </w:r>
      <w:r>
        <w:t xml:space="preserve"> </w:t>
      </w:r>
      <w:r>
        <w:t xml:space="preserve">Classification</w:t>
      </w:r>
      <w:r>
        <w:t xml:space="preserve"> </w:t>
      </w:r>
      <w:r>
        <w:t xml:space="preserve">Policy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tbl>
      <w:tblPr>
        <w:tblStyle w:val="Table"/>
        <w:tblW w:type="auto" w:w="0"/>
        <w:tblLook w:firstRow="0" w:lastRow="0" w:firstColumn="0" w:lastColumn="0" w:noHBand="0" w:noVBand="0" w:val="0000"/>
        <w:jc w:val="start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Title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Data Classification Policy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Doc#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POL-DATA-001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Version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 (DRAFT)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Date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12-04-2024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Supersedes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POL-DATA-001 v1.1 (15-01-2024)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Next Review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12-10-2024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Owner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Data Protection Officer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Approved By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[PENDING APPROVAL]</w:t>
            </w:r>
          </w:p>
        </w:tc>
      </w:tr>
    </w:tbl>
    <w:p>
      <w:pPr>
        <w:pStyle w:val="BlockText"/>
      </w:pPr>
      <w:r>
        <w:rPr>
          <w:bCs/>
          <w:b/>
        </w:rPr>
        <w:t xml:space="preserve">POLICY STATUS:</w:t>
      </w:r>
      <w:r>
        <w:t xml:space="preserve"> </w:t>
      </w:r>
      <w:r>
        <w:t xml:space="preserve">This policy is currently in DRAFT status pending final review.</w:t>
      </w:r>
      <w:r>
        <w:t xml:space="preserve"> </w:t>
      </w:r>
      <w:r>
        <w:t xml:space="preserve">Implementation should follow existing Data Handling Guidelines POL-DH-002 until</w:t>
      </w:r>
      <w:r>
        <w:t xml:space="preserve"> </w:t>
      </w:r>
      <w:r>
        <w:t xml:space="preserve">this policy is formally approved.</w:t>
      </w:r>
    </w:p>
    <w:p>
      <w:pPr>
        <w:pStyle w:val="BlockText"/>
      </w:pPr>
      <w:r>
        <w:rPr>
          <w:bCs/>
          <w:b/>
        </w:rPr>
        <w:t xml:space="preserve">RELATED POLICIES:</w:t>
      </w:r>
      <w:r>
        <w:t xml:space="preserve"> </w:t>
      </w:r>
      <w:r>
        <w:t xml:space="preserve">This policy should be read in conjunction with:</w:t>
      </w:r>
      <w:r>
        <w:t xml:space="preserve"> </w:t>
      </w:r>
      <w:r>
        <w:t xml:space="preserve">- Access Control Policy POL-SECU-021 (v1.3)</w:t>
      </w:r>
      <w:r>
        <w:t xml:space="preserve"> </w:t>
      </w:r>
      <w:r>
        <w:t xml:space="preserve">- Data Retention Policy POL-RETENTION-001 (v2.0 - under review)</w:t>
      </w:r>
      <w:r>
        <w:t xml:space="preserve"> </w:t>
      </w:r>
      <w:r>
        <w:t xml:space="preserve">- Incident Response Policy POL-SECU-010 (v2.1)</w:t>
      </w:r>
      <w:r>
        <w:t xml:space="preserve"> </w:t>
      </w:r>
      <w:r>
        <w:t xml:space="preserve">- Privacy Policy POL-PRIVACY-001 (v1.4)</w:t>
      </w:r>
    </w:p>
    <w:p>
      <w:pPr>
        <w:pStyle w:val="FirstParagraph"/>
      </w:pPr>
      <w:r>
        <w:t xml:space="preserve">CloudCore data classification policy establishes a systematic approach to</w:t>
      </w:r>
      <w:r>
        <w:t xml:space="preserve"> </w:t>
      </w:r>
      <w:r>
        <w:t xml:space="preserve">categorising information assets based on their sensitivity, criticality, and</w:t>
      </w:r>
      <w:r>
        <w:t xml:space="preserve"> </w:t>
      </w:r>
      <w:r>
        <w:t xml:space="preserve">regulatory requirements to ensure appropriate protection measures are applied.</w:t>
      </w:r>
      <w:r>
        <w:t xml:space="preserve"> </w:t>
      </w:r>
      <w:r>
        <w:t xml:space="preserve">This policy applies to all information created, processed, stored, or transmitted</w:t>
      </w:r>
      <w:r>
        <w:t xml:space="preserve"> </w:t>
      </w:r>
      <w:r>
        <w:t xml:space="preserve">by CloudCore systems and personnel.</w:t>
      </w:r>
    </w:p>
    <w:p>
      <w:pPr>
        <w:pStyle w:val="BlockText"/>
      </w:pPr>
      <w:r>
        <w:rPr>
          <w:bCs/>
          <w:b/>
        </w:rPr>
        <w:t xml:space="preserve">SCOPE AMBIGUITY:</w:t>
      </w:r>
      <w:r>
        <w:t xml:space="preserve"> </w:t>
      </w:r>
      <w:r>
        <w:t xml:space="preserve">Policy states it applies to</w:t>
      </w:r>
      <w:r>
        <w:t xml:space="preserve"> </w:t>
      </w:r>
      <w:r>
        <w:t xml:space="preserve">“</w:t>
      </w:r>
      <w:r>
        <w:t xml:space="preserve">all information</w:t>
      </w:r>
      <w:r>
        <w:t xml:space="preserve">”</w:t>
      </w:r>
      <w:r>
        <w:t xml:space="preserve"> </w:t>
      </w:r>
      <w:r>
        <w:t xml:space="preserve">but later</w:t>
      </w:r>
      <w:r>
        <w:t xml:space="preserve"> </w:t>
      </w:r>
      <w:r>
        <w:t xml:space="preserve">sections exclude certain data types without clear justification.</w:t>
      </w:r>
    </w:p>
    <w:bookmarkStart w:id="20" w:name="policy-statements"/>
    <w:p>
      <w:pPr>
        <w:pStyle w:val="Heading2"/>
      </w:pPr>
      <w:r>
        <w:t xml:space="preserve">Policy Statements</w:t>
      </w:r>
    </w:p>
    <w:p>
      <w:pPr>
        <w:pStyle w:val="FirstParagraph"/>
      </w:pPr>
      <w:r>
        <w:t xml:space="preserve">CloudCore requires that:</w:t>
      </w:r>
    </w:p>
    <w:p>
      <w:pPr>
        <w:numPr>
          <w:ilvl w:val="0"/>
          <w:numId w:val="1001"/>
        </w:numPr>
      </w:pPr>
      <w:r>
        <w:t xml:space="preserve">All information assets must be classified according to the data classification</w:t>
      </w:r>
      <w:r>
        <w:t xml:space="preserve"> </w:t>
      </w:r>
      <w:r>
        <w:t xml:space="preserve">scheme defined in this policy.</w:t>
      </w:r>
    </w:p>
    <w:p>
      <w:pPr>
        <w:numPr>
          <w:ilvl w:val="0"/>
          <w:numId w:val="1001"/>
        </w:numPr>
      </w:pPr>
      <w:r>
        <w:t xml:space="preserve">Data classification must be assigned at the time of creation or acquisition</w:t>
      </w:r>
      <w:r>
        <w:t xml:space="preserve"> </w:t>
      </w:r>
      <w:r>
        <w:t xml:space="preserve">and reviewed periodically.</w:t>
      </w:r>
    </w:p>
    <w:p>
      <w:pPr>
        <w:numPr>
          <w:ilvl w:val="0"/>
          <w:numId w:val="1001"/>
        </w:numPr>
      </w:pPr>
      <w:r>
        <w:t xml:space="preserve">Appropriate security controls must be implemented based on the assigned</w:t>
      </w:r>
      <w:r>
        <w:t xml:space="preserve"> </w:t>
      </w:r>
      <w:r>
        <w:t xml:space="preserve">classification level.</w:t>
      </w:r>
    </w:p>
    <w:p>
      <w:pPr>
        <w:numPr>
          <w:ilvl w:val="0"/>
          <w:numId w:val="1001"/>
        </w:numPr>
      </w:pPr>
      <w:r>
        <w:t xml:space="preserve">Data classification labels must be clearly indicated on all documents,</w:t>
      </w:r>
      <w:r>
        <w:t xml:space="preserve"> </w:t>
      </w:r>
      <w:r>
        <w:t xml:space="preserve">systems, and storage media containing classified information.</w:t>
      </w:r>
    </w:p>
    <w:p>
      <w:pPr>
        <w:pStyle w:val="BlockText"/>
      </w:pPr>
      <w:r>
        <w:rPr>
          <w:bCs/>
          <w:b/>
        </w:rPr>
        <w:t xml:space="preserve">LABELLING INCONSISTENCY:</w:t>
      </w:r>
      <w:r>
        <w:t xml:space="preserve"> </w:t>
      </w:r>
      <w:r>
        <w:t xml:space="preserve">Requirement for</w:t>
      </w:r>
      <w:r>
        <w:t xml:space="preserve"> </w:t>
      </w:r>
      <w:r>
        <w:t xml:space="preserve">“</w:t>
      </w:r>
      <w:r>
        <w:t xml:space="preserve">clearly indicated</w:t>
      </w:r>
      <w:r>
        <w:t xml:space="preserve">”</w:t>
      </w:r>
      <w:r>
        <w:t xml:space="preserve"> </w:t>
      </w:r>
      <w:r>
        <w:t xml:space="preserve">labels conflicts</w:t>
      </w:r>
      <w:r>
        <w:t xml:space="preserve"> </w:t>
      </w:r>
      <w:r>
        <w:t xml:space="preserve">with later exemptions for certain electronic systems.</w:t>
      </w:r>
    </w:p>
    <w:p>
      <w:pPr>
        <w:numPr>
          <w:ilvl w:val="0"/>
          <w:numId w:val="1002"/>
        </w:numPr>
      </w:pPr>
      <w:r>
        <w:t xml:space="preserve">Personnel must receive training on data classification requirements and their</w:t>
      </w:r>
      <w:r>
        <w:t xml:space="preserve"> </w:t>
      </w:r>
      <w:r>
        <w:t xml:space="preserve">responsibilities for handling classified information.</w:t>
      </w:r>
    </w:p>
    <w:p>
      <w:pPr>
        <w:numPr>
          <w:ilvl w:val="0"/>
          <w:numId w:val="1002"/>
        </w:numPr>
      </w:pPr>
      <w:r>
        <w:t xml:space="preserve">Data classification decisions must be documented and maintained for audit purposes.</w:t>
      </w:r>
    </w:p>
    <w:bookmarkEnd w:id="20"/>
    <w:bookmarkStart w:id="25" w:name="data-classification-levels"/>
    <w:p>
      <w:pPr>
        <w:pStyle w:val="Heading2"/>
      </w:pPr>
      <w:r>
        <w:t xml:space="preserve">Data Classification Levels</w:t>
      </w:r>
    </w:p>
    <w:p>
      <w:pPr>
        <w:pStyle w:val="FirstParagraph"/>
      </w:pPr>
      <w:r>
        <w:t xml:space="preserve">CloudCore uses a four-tier classification system:</w:t>
      </w:r>
    </w:p>
    <w:bookmarkStart w:id="21" w:name="public"/>
    <w:p>
      <w:pPr>
        <w:pStyle w:val="Heading3"/>
      </w:pPr>
      <w:r>
        <w:t xml:space="preserve">PUBLIC</w:t>
      </w:r>
    </w:p>
    <w:p>
      <w:pPr>
        <w:numPr>
          <w:ilvl w:val="0"/>
          <w:numId w:val="1003"/>
        </w:numPr>
        <w:pStyle w:val="Compact"/>
      </w:pPr>
      <w:r>
        <w:rPr>
          <w:bCs/>
          <w:b/>
        </w:rPr>
        <w:t xml:space="preserve">Definition:</w:t>
      </w:r>
      <w:r>
        <w:t xml:space="preserve"> </w:t>
      </w:r>
      <w:r>
        <w:t xml:space="preserve">Information that can be freely shared with external parties</w:t>
      </w:r>
      <w:r>
        <w:t xml:space="preserve"> </w:t>
      </w:r>
      <w:r>
        <w:t xml:space="preserve">without risk to CloudCore or its clients.</w:t>
      </w:r>
    </w:p>
    <w:p>
      <w:pPr>
        <w:numPr>
          <w:ilvl w:val="0"/>
          <w:numId w:val="1003"/>
        </w:numPr>
        <w:pStyle w:val="Compact"/>
      </w:pPr>
      <w:r>
        <w:rPr>
          <w:bCs/>
          <w:b/>
        </w:rPr>
        <w:t xml:space="preserve">Examples:</w:t>
      </w:r>
      <w:r>
        <w:t xml:space="preserve"> </w:t>
      </w:r>
      <w:r>
        <w:t xml:space="preserve">Marketing materials, public website content, press releases</w:t>
      </w:r>
    </w:p>
    <w:p>
      <w:pPr>
        <w:numPr>
          <w:ilvl w:val="0"/>
          <w:numId w:val="1003"/>
        </w:numPr>
        <w:pStyle w:val="Compact"/>
      </w:pPr>
      <w:r>
        <w:rPr>
          <w:bCs/>
          <w:b/>
        </w:rPr>
        <w:t xml:space="preserve">Protection Requirements:</w:t>
      </w:r>
      <w:r>
        <w:t xml:space="preserve"> </w:t>
      </w:r>
      <w:r>
        <w:t xml:space="preserve">Standard backup and availability measures</w:t>
      </w:r>
    </w:p>
    <w:p>
      <w:pPr>
        <w:pStyle w:val="BlockText"/>
      </w:pPr>
      <w:r>
        <w:rPr>
          <w:bCs/>
          <w:b/>
        </w:rPr>
        <w:t xml:space="preserve">EXAMPLES LIMITATION:</w:t>
      </w:r>
      <w:r>
        <w:t xml:space="preserve"> </w:t>
      </w:r>
      <w:r>
        <w:t xml:space="preserve">Examples provided are too narrow and don’t address</w:t>
      </w:r>
      <w:r>
        <w:t xml:space="preserve"> </w:t>
      </w:r>
      <w:r>
        <w:t xml:space="preserve">edge cases like public-but-commercially-sensitive information.</w:t>
      </w:r>
    </w:p>
    <w:bookmarkEnd w:id="21"/>
    <w:bookmarkStart w:id="22" w:name="internal"/>
    <w:p>
      <w:pPr>
        <w:pStyle w:val="Heading3"/>
      </w:pPr>
      <w:r>
        <w:t xml:space="preserve">INTERNAL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Definition:</w:t>
      </w:r>
      <w:r>
        <w:t xml:space="preserve"> </w:t>
      </w:r>
      <w:r>
        <w:t xml:space="preserve">Information intended for use within CloudCore that could cause</w:t>
      </w:r>
      <w:r>
        <w:t xml:space="preserve"> </w:t>
      </w:r>
      <w:r>
        <w:t xml:space="preserve">minor harm if disclosed externally.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Examples:</w:t>
      </w:r>
      <w:r>
        <w:t xml:space="preserve"> </w:t>
      </w:r>
      <w:r>
        <w:t xml:space="preserve">Internal procedures, staff directories, non-sensitive financial data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Protection Requirements:</w:t>
      </w:r>
      <w:r>
        <w:t xml:space="preserve"> </w:t>
      </w:r>
      <w:r>
        <w:t xml:space="preserve">Access restricted to CloudCore personnel, encrypted</w:t>
      </w:r>
      <w:r>
        <w:t xml:space="preserve"> </w:t>
      </w:r>
      <w:r>
        <w:t xml:space="preserve">in transit</w:t>
      </w:r>
    </w:p>
    <w:p>
      <w:pPr>
        <w:pStyle w:val="BlockText"/>
      </w:pPr>
      <w:r>
        <w:rPr>
          <w:bCs/>
          <w:b/>
        </w:rPr>
        <w:t xml:space="preserve">ACCESS CONTRADICTION:</w:t>
      </w:r>
      <w:r>
        <w:t xml:space="preserve"> </w:t>
      </w:r>
      <w:r>
        <w:t xml:space="preserve">“</w:t>
      </w:r>
      <w:r>
        <w:t xml:space="preserve">Restricted to CloudCore personnel</w:t>
      </w:r>
      <w:r>
        <w:t xml:space="preserve">”</w:t>
      </w:r>
      <w:r>
        <w:t xml:space="preserve"> </w:t>
      </w:r>
      <w:r>
        <w:t xml:space="preserve">conflicts with</w:t>
      </w:r>
      <w:r>
        <w:t xml:space="preserve"> </w:t>
      </w:r>
      <w:r>
        <w:t xml:space="preserve">Access Control Policy which allows contractor and vendor access to internal systems.</w:t>
      </w:r>
    </w:p>
    <w:bookmarkEnd w:id="22"/>
    <w:bookmarkStart w:id="23" w:name="confidential"/>
    <w:p>
      <w:pPr>
        <w:pStyle w:val="Heading3"/>
      </w:pPr>
      <w:r>
        <w:t xml:space="preserve">CONFIDENTIAL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Definition:</w:t>
      </w:r>
      <w:r>
        <w:t xml:space="preserve"> </w:t>
      </w:r>
      <w:r>
        <w:t xml:space="preserve">Sensitive information that could cause significant harm to</w:t>
      </w:r>
      <w:r>
        <w:t xml:space="preserve"> </w:t>
      </w:r>
      <w:r>
        <w:t xml:space="preserve">CloudCore or its clients if disclosed inappropriately.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Examples:</w:t>
      </w:r>
      <w:r>
        <w:t xml:space="preserve"> </w:t>
      </w:r>
      <w:r>
        <w:t xml:space="preserve">Client contracts, financial reports, strategic plans, employee</w:t>
      </w:r>
      <w:r>
        <w:t xml:space="preserve"> </w:t>
      </w:r>
      <w:r>
        <w:t xml:space="preserve">personal information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Protection Requirements:</w:t>
      </w:r>
      <w:r>
        <w:t xml:space="preserve"> </w:t>
      </w:r>
      <w:r>
        <w:t xml:space="preserve">Role-based access controls, encryption at rest and</w:t>
      </w:r>
      <w:r>
        <w:t xml:space="preserve"> </w:t>
      </w:r>
      <w:r>
        <w:t xml:space="preserve">in transit, secure disposal</w:t>
      </w:r>
    </w:p>
    <w:p>
      <w:pPr>
        <w:pStyle w:val="BlockText"/>
      </w:pPr>
      <w:r>
        <w:rPr>
          <w:bCs/>
          <w:b/>
        </w:rPr>
        <w:t xml:space="preserve">DEFINITION OVERLAP:</w:t>
      </w:r>
      <w:r>
        <w:t xml:space="preserve"> </w:t>
      </w:r>
      <w:r>
        <w:t xml:space="preserve">“</w:t>
      </w:r>
      <w:r>
        <w:t xml:space="preserve">Significant harm</w:t>
      </w:r>
      <w:r>
        <w:t xml:space="preserve">”</w:t>
      </w:r>
      <w:r>
        <w:t xml:space="preserve"> </w:t>
      </w:r>
      <w:r>
        <w:t xml:space="preserve">threshold unclear and overlaps with</w:t>
      </w:r>
      <w:r>
        <w:t xml:space="preserve"> </w:t>
      </w:r>
      <w:r>
        <w:t xml:space="preserve">RESTRICTED category definition.</w:t>
      </w:r>
    </w:p>
    <w:bookmarkEnd w:id="23"/>
    <w:bookmarkStart w:id="24" w:name="restricted"/>
    <w:p>
      <w:pPr>
        <w:pStyle w:val="Heading3"/>
      </w:pPr>
      <w:r>
        <w:t xml:space="preserve">RESTRICTED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Definition:</w:t>
      </w:r>
      <w:r>
        <w:t xml:space="preserve"> </w:t>
      </w:r>
      <w:r>
        <w:t xml:space="preserve">Highly sensitive information that could cause severe harm to</w:t>
      </w:r>
      <w:r>
        <w:t xml:space="preserve"> </w:t>
      </w:r>
      <w:r>
        <w:t xml:space="preserve">CloudCore, its clients, or regulatory non-compliance if disclosed.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Examples:</w:t>
      </w:r>
      <w:r>
        <w:t xml:space="preserve"> </w:t>
      </w:r>
      <w:r>
        <w:t xml:space="preserve">Client payment data, medical records, trade secrets, security</w:t>
      </w:r>
      <w:r>
        <w:t xml:space="preserve"> </w:t>
      </w:r>
      <w:r>
        <w:t xml:space="preserve">incident details, audit reports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Protection Requirements:</w:t>
      </w:r>
      <w:r>
        <w:t xml:space="preserve"> </w:t>
      </w:r>
      <w:r>
        <w:t xml:space="preserve">Multi-factor authentication required, encrypted</w:t>
      </w:r>
      <w:r>
        <w:t xml:space="preserve"> </w:t>
      </w:r>
      <w:r>
        <w:t xml:space="preserve">storage with key management, need-to-know access only, detailed audit logging</w:t>
      </w:r>
    </w:p>
    <w:p>
      <w:pPr>
        <w:pStyle w:val="BlockText"/>
      </w:pPr>
      <w:r>
        <w:rPr>
          <w:bCs/>
          <w:b/>
        </w:rPr>
        <w:t xml:space="preserve">REGULATORY INCONSISTENCY:</w:t>
      </w:r>
      <w:r>
        <w:t xml:space="preserve"> </w:t>
      </w:r>
      <w:r>
        <w:t xml:space="preserve">References</w:t>
      </w:r>
      <w:r>
        <w:t xml:space="preserve"> </w:t>
      </w:r>
      <w:r>
        <w:t xml:space="preserve">“</w:t>
      </w:r>
      <w:r>
        <w:t xml:space="preserve">medical records</w:t>
      </w:r>
      <w:r>
        <w:t xml:space="preserve">”</w:t>
      </w:r>
      <w:r>
        <w:t xml:space="preserve"> </w:t>
      </w:r>
      <w:r>
        <w:t xml:space="preserve">but CloudCore’s</w:t>
      </w:r>
      <w:r>
        <w:t xml:space="preserve"> </w:t>
      </w:r>
      <w:r>
        <w:t xml:space="preserve">current client base is primarily financial services and cloud hosting.</w:t>
      </w:r>
    </w:p>
    <w:bookmarkEnd w:id="24"/>
    <w:bookmarkEnd w:id="25"/>
    <w:bookmarkStart w:id="29" w:name="classification-criteria"/>
    <w:p>
      <w:pPr>
        <w:pStyle w:val="Heading2"/>
      </w:pPr>
      <w:r>
        <w:t xml:space="preserve">Classification Criteria</w:t>
      </w:r>
    </w:p>
    <w:p>
      <w:pPr>
        <w:pStyle w:val="FirstParagraph"/>
      </w:pPr>
      <w:r>
        <w:t xml:space="preserve">Data classification must consider the following factors:</w:t>
      </w:r>
    </w:p>
    <w:bookmarkStart w:id="26" w:name="sensitivity-assessment"/>
    <w:p>
      <w:pPr>
        <w:pStyle w:val="Heading3"/>
      </w:pPr>
      <w:r>
        <w:t xml:space="preserve">Sensitivity Assessment</w:t>
      </w:r>
    </w:p>
    <w:p>
      <w:pPr>
        <w:numPr>
          <w:ilvl w:val="0"/>
          <w:numId w:val="1007"/>
        </w:numPr>
        <w:pStyle w:val="Compact"/>
      </w:pPr>
      <w:r>
        <w:t xml:space="preserve">Legal and regulatory requirements (Privacy Act 1988, PCI DSS, industry standards)</w:t>
      </w:r>
    </w:p>
    <w:p>
      <w:pPr>
        <w:numPr>
          <w:ilvl w:val="0"/>
          <w:numId w:val="1007"/>
        </w:numPr>
        <w:pStyle w:val="Compact"/>
      </w:pPr>
      <w:r>
        <w:t xml:space="preserve">Contractual obligations to clients</w:t>
      </w:r>
    </w:p>
    <w:p>
      <w:pPr>
        <w:numPr>
          <w:ilvl w:val="0"/>
          <w:numId w:val="1007"/>
        </w:numPr>
        <w:pStyle w:val="Compact"/>
      </w:pPr>
      <w:r>
        <w:t xml:space="preserve">Business impact of unauthorised disclosure</w:t>
      </w:r>
    </w:p>
    <w:p>
      <w:pPr>
        <w:numPr>
          <w:ilvl w:val="0"/>
          <w:numId w:val="1007"/>
        </w:numPr>
        <w:pStyle w:val="Compact"/>
      </w:pPr>
      <w:r>
        <w:t xml:space="preserve">Intellectual property considerations</w:t>
      </w:r>
    </w:p>
    <w:p>
      <w:pPr>
        <w:pStyle w:val="BlockText"/>
      </w:pPr>
      <w:r>
        <w:rPr>
          <w:bCs/>
          <w:b/>
        </w:rPr>
        <w:t xml:space="preserve">MISSING CRITERIA:</w:t>
      </w:r>
      <w:r>
        <w:t xml:space="preserve"> </w:t>
      </w:r>
      <w:r>
        <w:t xml:space="preserve">No consideration of data retention requirements or</w:t>
      </w:r>
      <w:r>
        <w:t xml:space="preserve"> </w:t>
      </w:r>
      <w:r>
        <w:t xml:space="preserve">cross-border transfer restrictions.</w:t>
      </w:r>
    </w:p>
    <w:bookmarkEnd w:id="26"/>
    <w:bookmarkStart w:id="27" w:name="impact-analysis"/>
    <w:p>
      <w:pPr>
        <w:pStyle w:val="Heading3"/>
      </w:pPr>
      <w:r>
        <w:t xml:space="preserve">Impact Analysis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LOW:</w:t>
      </w:r>
      <w:r>
        <w:t xml:space="preserve"> </w:t>
      </w:r>
      <w:r>
        <w:t xml:space="preserve">Minimal impact on operations, reputation, or compliance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MEDIUM:</w:t>
      </w:r>
      <w:r>
        <w:t xml:space="preserve"> </w:t>
      </w:r>
      <w:r>
        <w:t xml:space="preserve">Moderate impact requiring management attention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HIGH:</w:t>
      </w:r>
      <w:r>
        <w:t xml:space="preserve"> </w:t>
      </w:r>
      <w:r>
        <w:t xml:space="preserve">Significant impact requiring executive involvement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CRITICAL:</w:t>
      </w:r>
      <w:r>
        <w:t xml:space="preserve"> </w:t>
      </w:r>
      <w:r>
        <w:t xml:space="preserve">Severe impact threatening business continuity or regulatory status</w:t>
      </w:r>
    </w:p>
    <w:p>
      <w:pPr>
        <w:pStyle w:val="BlockText"/>
      </w:pPr>
      <w:r>
        <w:rPr>
          <w:bCs/>
          <w:b/>
        </w:rPr>
        <w:t xml:space="preserve">IMPACT MAPPING ERROR:</w:t>
      </w:r>
      <w:r>
        <w:t xml:space="preserve"> </w:t>
      </w:r>
      <w:r>
        <w:t xml:space="preserve">Four impact levels (LOW/MEDIUM/HIGH/CRITICAL) don’t</w:t>
      </w:r>
      <w:r>
        <w:t xml:space="preserve"> </w:t>
      </w:r>
      <w:r>
        <w:t xml:space="preserve">align with four classification levels (PUBLIC/INTERNAL/CONFIDENTIAL/RESTRICTED).</w:t>
      </w:r>
    </w:p>
    <w:bookmarkEnd w:id="27"/>
    <w:bookmarkStart w:id="28" w:name="time-sensitivity"/>
    <w:p>
      <w:pPr>
        <w:pStyle w:val="Heading3"/>
      </w:pPr>
      <w:r>
        <w:t xml:space="preserve">Time Sensitivity</w:t>
      </w:r>
    </w:p>
    <w:p>
      <w:pPr>
        <w:numPr>
          <w:ilvl w:val="0"/>
          <w:numId w:val="1009"/>
        </w:numPr>
        <w:pStyle w:val="Compact"/>
      </w:pPr>
      <w:r>
        <w:t xml:space="preserve">Immediate classification required for real-time data processing</w:t>
      </w:r>
    </w:p>
    <w:p>
      <w:pPr>
        <w:numPr>
          <w:ilvl w:val="0"/>
          <w:numId w:val="1009"/>
        </w:numPr>
        <w:pStyle w:val="Compact"/>
      </w:pPr>
      <w:r>
        <w:t xml:space="preserve">Periodic review every 12 months or when business context changes</w:t>
      </w:r>
    </w:p>
    <w:p>
      <w:pPr>
        <w:numPr>
          <w:ilvl w:val="0"/>
          <w:numId w:val="1009"/>
        </w:numPr>
        <w:pStyle w:val="Compact"/>
      </w:pPr>
      <w:r>
        <w:t xml:space="preserve">Automatic declassification after retention period expires</w:t>
      </w:r>
    </w:p>
    <w:p>
      <w:pPr>
        <w:pStyle w:val="BlockText"/>
      </w:pPr>
      <w:r>
        <w:rPr>
          <w:bCs/>
          <w:b/>
        </w:rPr>
        <w:t xml:space="preserve">DECLASSIFICATION AMBIGUITY:</w:t>
      </w:r>
      <w:r>
        <w:t xml:space="preserve"> </w:t>
      </w:r>
      <w:r>
        <w:t xml:space="preserve">No clear process defined for automatic</w:t>
      </w:r>
      <w:r>
        <w:t xml:space="preserve"> </w:t>
      </w:r>
      <w:r>
        <w:t xml:space="preserve">declassification or who has authority to change classifications.</w:t>
      </w:r>
    </w:p>
    <w:bookmarkEnd w:id="28"/>
    <w:bookmarkEnd w:id="29"/>
    <w:bookmarkStart w:id="34" w:name="responsibilities"/>
    <w:p>
      <w:pPr>
        <w:pStyle w:val="Heading2"/>
      </w:pPr>
      <w:r>
        <w:t xml:space="preserve">Responsibilities</w:t>
      </w:r>
    </w:p>
    <w:bookmarkStart w:id="30" w:name="data-owners"/>
    <w:p>
      <w:pPr>
        <w:pStyle w:val="Heading3"/>
      </w:pPr>
      <w:r>
        <w:t xml:space="preserve">Data Owners</w:t>
      </w:r>
    </w:p>
    <w:p>
      <w:pPr>
        <w:numPr>
          <w:ilvl w:val="0"/>
          <w:numId w:val="1010"/>
        </w:numPr>
        <w:pStyle w:val="Compact"/>
      </w:pPr>
      <w:r>
        <w:t xml:space="preserve">Assign initial classification based on business context and sensitivity</w:t>
      </w:r>
    </w:p>
    <w:p>
      <w:pPr>
        <w:numPr>
          <w:ilvl w:val="0"/>
          <w:numId w:val="1010"/>
        </w:numPr>
        <w:pStyle w:val="Compact"/>
      </w:pPr>
      <w:r>
        <w:t xml:space="preserve">Review and update classifications during periodic reviews</w:t>
      </w:r>
    </w:p>
    <w:p>
      <w:pPr>
        <w:numPr>
          <w:ilvl w:val="0"/>
          <w:numId w:val="1010"/>
        </w:numPr>
        <w:pStyle w:val="Compact"/>
      </w:pPr>
      <w:r>
        <w:t xml:space="preserve">Ensure appropriate controls are implemented and maintained</w:t>
      </w:r>
    </w:p>
    <w:p>
      <w:pPr>
        <w:numPr>
          <w:ilvl w:val="0"/>
          <w:numId w:val="1010"/>
        </w:numPr>
        <w:pStyle w:val="Compact"/>
      </w:pPr>
      <w:r>
        <w:t xml:space="preserve">Authorise access to classified information within their domain</w:t>
      </w:r>
    </w:p>
    <w:p>
      <w:pPr>
        <w:pStyle w:val="BlockText"/>
      </w:pPr>
      <w:r>
        <w:rPr>
          <w:bCs/>
          <w:b/>
        </w:rPr>
        <w:t xml:space="preserve">DATA OWNER DEFINITION:</w:t>
      </w:r>
      <w:r>
        <w:t xml:space="preserve"> </w:t>
      </w:r>
      <w:r>
        <w:t xml:space="preserve">Policy doesn’t define who qualifies as a</w:t>
      </w:r>
      <w:r>
        <w:t xml:space="preserve"> </w:t>
      </w:r>
      <w:r>
        <w:t xml:space="preserve">“</w:t>
      </w:r>
      <w:r>
        <w:t xml:space="preserve">Data Owner</w:t>
      </w:r>
      <w:r>
        <w:t xml:space="preserve">”</w:t>
      </w:r>
      <w:r>
        <w:t xml:space="preserve"> </w:t>
      </w:r>
      <w:r>
        <w:t xml:space="preserve">or how ownership is determined for shared datasets.</w:t>
      </w:r>
    </w:p>
    <w:bookmarkEnd w:id="30"/>
    <w:bookmarkStart w:id="31" w:name="data-custodians-it-department"/>
    <w:p>
      <w:pPr>
        <w:pStyle w:val="Heading3"/>
      </w:pPr>
      <w:r>
        <w:t xml:space="preserve">Data Custodians (IT Department)</w:t>
      </w:r>
    </w:p>
    <w:p>
      <w:pPr>
        <w:numPr>
          <w:ilvl w:val="0"/>
          <w:numId w:val="1011"/>
        </w:numPr>
        <w:pStyle w:val="Compact"/>
      </w:pPr>
      <w:r>
        <w:t xml:space="preserve">Implement technical controls based on classification requirements</w:t>
      </w:r>
    </w:p>
    <w:p>
      <w:pPr>
        <w:numPr>
          <w:ilvl w:val="0"/>
          <w:numId w:val="1011"/>
        </w:numPr>
        <w:pStyle w:val="Compact"/>
      </w:pPr>
      <w:r>
        <w:t xml:space="preserve">Monitor compliance with classification-specific security measures</w:t>
      </w:r>
      <w:r>
        <w:br/>
      </w:r>
    </w:p>
    <w:p>
      <w:pPr>
        <w:numPr>
          <w:ilvl w:val="0"/>
          <w:numId w:val="1011"/>
        </w:numPr>
        <w:pStyle w:val="Compact"/>
      </w:pPr>
      <w:r>
        <w:t xml:space="preserve">Manage encryption keys and access control systems</w:t>
      </w:r>
    </w:p>
    <w:p>
      <w:pPr>
        <w:numPr>
          <w:ilvl w:val="0"/>
          <w:numId w:val="1011"/>
        </w:numPr>
        <w:pStyle w:val="Compact"/>
      </w:pPr>
      <w:r>
        <w:t xml:space="preserve">Report classification violations to Data Protection Officer</w:t>
      </w:r>
    </w:p>
    <w:p>
      <w:pPr>
        <w:pStyle w:val="BlockText"/>
      </w:pPr>
      <w:r>
        <w:rPr>
          <w:bCs/>
          <w:b/>
        </w:rPr>
        <w:t xml:space="preserve">ROLE CONFLICT:</w:t>
      </w:r>
      <w:r>
        <w:t xml:space="preserve"> </w:t>
      </w:r>
      <w:r>
        <w:t xml:space="preserve">IT Department designated as custodians but Access Control</w:t>
      </w:r>
      <w:r>
        <w:t xml:space="preserve"> </w:t>
      </w:r>
      <w:r>
        <w:t xml:space="preserve">Policy assigns these responsibilities to Security team.</w:t>
      </w:r>
    </w:p>
    <w:bookmarkEnd w:id="31"/>
    <w:bookmarkStart w:id="32" w:name="all-personnel"/>
    <w:p>
      <w:pPr>
        <w:pStyle w:val="Heading3"/>
      </w:pPr>
      <w:r>
        <w:t xml:space="preserve">All Personnel</w:t>
      </w:r>
    </w:p>
    <w:p>
      <w:pPr>
        <w:numPr>
          <w:ilvl w:val="0"/>
          <w:numId w:val="1012"/>
        </w:numPr>
        <w:pStyle w:val="Compact"/>
      </w:pPr>
      <w:r>
        <w:t xml:space="preserve">Follow classification handling requirements for information they access</w:t>
      </w:r>
    </w:p>
    <w:p>
      <w:pPr>
        <w:numPr>
          <w:ilvl w:val="0"/>
          <w:numId w:val="1012"/>
        </w:numPr>
        <w:pStyle w:val="Compact"/>
      </w:pPr>
      <w:r>
        <w:t xml:space="preserve">Report suspected classification errors or violations</w:t>
      </w:r>
    </w:p>
    <w:p>
      <w:pPr>
        <w:numPr>
          <w:ilvl w:val="0"/>
          <w:numId w:val="1012"/>
        </w:numPr>
        <w:pStyle w:val="Compact"/>
      </w:pPr>
      <w:r>
        <w:t xml:space="preserve">Complete annual data classification training</w:t>
      </w:r>
    </w:p>
    <w:p>
      <w:pPr>
        <w:numPr>
          <w:ilvl w:val="0"/>
          <w:numId w:val="1012"/>
        </w:numPr>
        <w:pStyle w:val="Compact"/>
      </w:pPr>
      <w:r>
        <w:t xml:space="preserve">Apply appropriate classification labels to information they create</w:t>
      </w:r>
    </w:p>
    <w:p>
      <w:pPr>
        <w:pStyle w:val="BlockText"/>
      </w:pPr>
      <w:r>
        <w:rPr>
          <w:bCs/>
          <w:b/>
        </w:rPr>
        <w:t xml:space="preserve">TRAINING FREQUENCY:</w:t>
      </w:r>
      <w:r>
        <w:t xml:space="preserve"> </w:t>
      </w:r>
      <w:r>
        <w:t xml:space="preserve">Annual training requirement conflicts with onboarding</w:t>
      </w:r>
      <w:r>
        <w:t xml:space="preserve"> </w:t>
      </w:r>
      <w:r>
        <w:t xml:space="preserve">requirements in HR policy which mandates immediate training.</w:t>
      </w:r>
    </w:p>
    <w:bookmarkEnd w:id="32"/>
    <w:bookmarkStart w:id="33" w:name="data-protection-officer"/>
    <w:p>
      <w:pPr>
        <w:pStyle w:val="Heading3"/>
      </w:pPr>
      <w:r>
        <w:t xml:space="preserve">Data Protection Officer</w:t>
      </w:r>
    </w:p>
    <w:p>
      <w:pPr>
        <w:numPr>
          <w:ilvl w:val="0"/>
          <w:numId w:val="1013"/>
        </w:numPr>
        <w:pStyle w:val="Compact"/>
      </w:pPr>
      <w:r>
        <w:t xml:space="preserve">Develop and maintain classification standards and procedures</w:t>
      </w:r>
    </w:p>
    <w:p>
      <w:pPr>
        <w:numPr>
          <w:ilvl w:val="0"/>
          <w:numId w:val="1013"/>
        </w:numPr>
        <w:pStyle w:val="Compact"/>
      </w:pPr>
      <w:r>
        <w:t xml:space="preserve">Conduct periodic audits of classification compliance</w:t>
      </w:r>
    </w:p>
    <w:p>
      <w:pPr>
        <w:numPr>
          <w:ilvl w:val="0"/>
          <w:numId w:val="1013"/>
        </w:numPr>
        <w:pStyle w:val="Compact"/>
      </w:pPr>
      <w:r>
        <w:t xml:space="preserve">Investigate classification violations and recommend corrective actions</w:t>
      </w:r>
    </w:p>
    <w:p>
      <w:pPr>
        <w:numPr>
          <w:ilvl w:val="0"/>
          <w:numId w:val="1013"/>
        </w:numPr>
        <w:pStyle w:val="Compact"/>
      </w:pPr>
      <w:r>
        <w:t xml:space="preserve">Coordinate with legal team on regulatory compliance issues</w:t>
      </w:r>
    </w:p>
    <w:bookmarkEnd w:id="33"/>
    <w:bookmarkEnd w:id="34"/>
    <w:bookmarkStart w:id="39" w:name="control-requirements-by-classification"/>
    <w:p>
      <w:pPr>
        <w:pStyle w:val="Heading2"/>
      </w:pPr>
      <w:r>
        <w:t xml:space="preserve">Control Requirements by Classification</w:t>
      </w:r>
    </w:p>
    <w:bookmarkStart w:id="35" w:name="public-information"/>
    <w:p>
      <w:pPr>
        <w:pStyle w:val="Heading3"/>
      </w:pPr>
      <w:r>
        <w:t xml:space="preserve">PUBLIC Information</w:t>
      </w:r>
    </w:p>
    <w:p>
      <w:pPr>
        <w:numPr>
          <w:ilvl w:val="0"/>
          <w:numId w:val="1014"/>
        </w:numPr>
        <w:pStyle w:val="Compact"/>
      </w:pPr>
      <w:r>
        <w:rPr>
          <w:bCs/>
          <w:b/>
        </w:rPr>
        <w:t xml:space="preserve">Storage:</w:t>
      </w:r>
      <w:r>
        <w:t xml:space="preserve"> </w:t>
      </w:r>
      <w:r>
        <w:t xml:space="preserve">Standard business backup systems</w:t>
      </w:r>
    </w:p>
    <w:p>
      <w:pPr>
        <w:numPr>
          <w:ilvl w:val="0"/>
          <w:numId w:val="1014"/>
        </w:numPr>
        <w:pStyle w:val="Compact"/>
      </w:pPr>
      <w:r>
        <w:rPr>
          <w:bCs/>
          <w:b/>
        </w:rPr>
        <w:t xml:space="preserve">Access:</w:t>
      </w:r>
      <w:r>
        <w:t xml:space="preserve"> </w:t>
      </w:r>
      <w:r>
        <w:t xml:space="preserve">No specific restrictions</w:t>
      </w:r>
    </w:p>
    <w:p>
      <w:pPr>
        <w:numPr>
          <w:ilvl w:val="0"/>
          <w:numId w:val="1014"/>
        </w:numPr>
        <w:pStyle w:val="Compact"/>
      </w:pPr>
      <w:r>
        <w:rPr>
          <w:bCs/>
          <w:b/>
        </w:rPr>
        <w:t xml:space="preserve">Transmission:</w:t>
      </w:r>
      <w:r>
        <w:t xml:space="preserve"> </w:t>
      </w:r>
      <w:r>
        <w:t xml:space="preserve">Standard email and file transfer acceptable</w:t>
      </w:r>
    </w:p>
    <w:p>
      <w:pPr>
        <w:numPr>
          <w:ilvl w:val="0"/>
          <w:numId w:val="1014"/>
        </w:numPr>
        <w:pStyle w:val="Compact"/>
      </w:pPr>
      <w:r>
        <w:rPr>
          <w:bCs/>
          <w:b/>
        </w:rPr>
        <w:t xml:space="preserve">Disposal:</w:t>
      </w:r>
      <w:r>
        <w:t xml:space="preserve"> </w:t>
      </w:r>
      <w:r>
        <w:t xml:space="preserve">Standard deletion procedures</w:t>
      </w:r>
    </w:p>
    <w:p>
      <w:pPr>
        <w:numPr>
          <w:ilvl w:val="0"/>
          <w:numId w:val="1014"/>
        </w:numPr>
        <w:pStyle w:val="Compact"/>
      </w:pPr>
      <w:r>
        <w:rPr>
          <w:bCs/>
          <w:b/>
        </w:rPr>
        <w:t xml:space="preserve">Retention:</w:t>
      </w:r>
      <w:r>
        <w:t xml:space="preserve"> </w:t>
      </w:r>
      <w:r>
        <w:t xml:space="preserve">As per business requirements</w:t>
      </w:r>
    </w:p>
    <w:bookmarkEnd w:id="35"/>
    <w:bookmarkStart w:id="36" w:name="internal-information"/>
    <w:p>
      <w:pPr>
        <w:pStyle w:val="Heading3"/>
      </w:pPr>
      <w:r>
        <w:t xml:space="preserve">INTERNAL Information</w:t>
      </w:r>
    </w:p>
    <w:p>
      <w:pPr>
        <w:numPr>
          <w:ilvl w:val="0"/>
          <w:numId w:val="1015"/>
        </w:numPr>
        <w:pStyle w:val="Compact"/>
      </w:pPr>
      <w:r>
        <w:rPr>
          <w:bCs/>
          <w:b/>
        </w:rPr>
        <w:t xml:space="preserve">Storage:</w:t>
      </w:r>
      <w:r>
        <w:t xml:space="preserve"> </w:t>
      </w:r>
      <w:r>
        <w:t xml:space="preserve">CloudCore approved systems only</w:t>
      </w:r>
    </w:p>
    <w:p>
      <w:pPr>
        <w:numPr>
          <w:ilvl w:val="0"/>
          <w:numId w:val="1015"/>
        </w:numPr>
        <w:pStyle w:val="Compact"/>
      </w:pPr>
      <w:r>
        <w:rPr>
          <w:bCs/>
          <w:b/>
        </w:rPr>
        <w:t xml:space="preserve">Access:</w:t>
      </w:r>
      <w:r>
        <w:t xml:space="preserve"> </w:t>
      </w:r>
      <w:r>
        <w:t xml:space="preserve">Valid CloudCore credentials required</w:t>
      </w:r>
    </w:p>
    <w:p>
      <w:pPr>
        <w:numPr>
          <w:ilvl w:val="0"/>
          <w:numId w:val="1015"/>
        </w:numPr>
        <w:pStyle w:val="Compact"/>
      </w:pPr>
      <w:r>
        <w:rPr>
          <w:bCs/>
          <w:b/>
        </w:rPr>
        <w:t xml:space="preserve">Transmission:</w:t>
      </w:r>
      <w:r>
        <w:t xml:space="preserve"> </w:t>
      </w:r>
      <w:r>
        <w:t xml:space="preserve">Encrypted email or secure file transfer systems</w:t>
      </w:r>
    </w:p>
    <w:p>
      <w:pPr>
        <w:numPr>
          <w:ilvl w:val="0"/>
          <w:numId w:val="1015"/>
        </w:numPr>
        <w:pStyle w:val="Compact"/>
      </w:pPr>
      <w:r>
        <w:rPr>
          <w:bCs/>
          <w:b/>
        </w:rPr>
        <w:t xml:space="preserve">Disposal:</w:t>
      </w:r>
      <w:r>
        <w:t xml:space="preserve"> </w:t>
      </w:r>
      <w:r>
        <w:t xml:space="preserve">Secure deletion with verification</w:t>
      </w:r>
    </w:p>
    <w:p>
      <w:pPr>
        <w:numPr>
          <w:ilvl w:val="0"/>
          <w:numId w:val="1015"/>
        </w:numPr>
        <w:pStyle w:val="Compact"/>
      </w:pPr>
      <w:r>
        <w:rPr>
          <w:bCs/>
          <w:b/>
        </w:rPr>
        <w:t xml:space="preserve">Retention:</w:t>
      </w:r>
      <w:r>
        <w:t xml:space="preserve"> </w:t>
      </w:r>
      <w:r>
        <w:t xml:space="preserve">Minimum 3 years, maximum 7 years</w:t>
      </w:r>
    </w:p>
    <w:p>
      <w:pPr>
        <w:pStyle w:val="BlockText"/>
      </w:pPr>
      <w:r>
        <w:rPr>
          <w:bCs/>
          <w:b/>
        </w:rPr>
        <w:t xml:space="preserve">RETENTION CONFLICT:</w:t>
      </w:r>
      <w:r>
        <w:t xml:space="preserve"> </w:t>
      </w:r>
      <w:r>
        <w:t xml:space="preserve">Retention periods conflict with Data Retention Policy</w:t>
      </w:r>
      <w:r>
        <w:t xml:space="preserve"> </w:t>
      </w:r>
      <w:r>
        <w:t xml:space="preserve">which specifies different timeframes for internal documents.</w:t>
      </w:r>
    </w:p>
    <w:bookmarkEnd w:id="36"/>
    <w:bookmarkStart w:id="37" w:name="confidential-information"/>
    <w:p>
      <w:pPr>
        <w:pStyle w:val="Heading3"/>
      </w:pPr>
      <w:r>
        <w:t xml:space="preserve">CONFIDENTIAL Information</w:t>
      </w:r>
    </w:p>
    <w:p>
      <w:pPr>
        <w:numPr>
          <w:ilvl w:val="0"/>
          <w:numId w:val="1016"/>
        </w:numPr>
        <w:pStyle w:val="Compact"/>
      </w:pPr>
      <w:r>
        <w:rPr>
          <w:bCs/>
          <w:b/>
        </w:rPr>
        <w:t xml:space="preserve">Storage:</w:t>
      </w:r>
      <w:r>
        <w:t xml:space="preserve"> </w:t>
      </w:r>
      <w:r>
        <w:t xml:space="preserve">Approved systems with encryption at rest</w:t>
      </w:r>
    </w:p>
    <w:p>
      <w:pPr>
        <w:numPr>
          <w:ilvl w:val="0"/>
          <w:numId w:val="1016"/>
        </w:numPr>
        <w:pStyle w:val="Compact"/>
      </w:pPr>
      <w:r>
        <w:rPr>
          <w:bCs/>
          <w:b/>
        </w:rPr>
        <w:t xml:space="preserve">Access:</w:t>
      </w:r>
      <w:r>
        <w:t xml:space="preserve"> </w:t>
      </w:r>
      <w:r>
        <w:t xml:space="preserve">Role-based access with manager approval</w:t>
      </w:r>
    </w:p>
    <w:p>
      <w:pPr>
        <w:numPr>
          <w:ilvl w:val="0"/>
          <w:numId w:val="1016"/>
        </w:numPr>
        <w:pStyle w:val="Compact"/>
      </w:pPr>
      <w:r>
        <w:rPr>
          <w:bCs/>
          <w:b/>
        </w:rPr>
        <w:t xml:space="preserve">Transmission:</w:t>
      </w:r>
      <w:r>
        <w:t xml:space="preserve"> </w:t>
      </w:r>
      <w:r>
        <w:t xml:space="preserve">End-to-end encryption required</w:t>
      </w:r>
    </w:p>
    <w:p>
      <w:pPr>
        <w:numPr>
          <w:ilvl w:val="0"/>
          <w:numId w:val="1016"/>
        </w:numPr>
        <w:pStyle w:val="Compact"/>
      </w:pPr>
      <w:r>
        <w:rPr>
          <w:bCs/>
          <w:b/>
        </w:rPr>
        <w:t xml:space="preserve">Disposal:</w:t>
      </w:r>
      <w:r>
        <w:t xml:space="preserve"> </w:t>
      </w:r>
      <w:r>
        <w:t xml:space="preserve">Certified secure destruction</w:t>
      </w:r>
    </w:p>
    <w:p>
      <w:pPr>
        <w:numPr>
          <w:ilvl w:val="0"/>
          <w:numId w:val="1016"/>
        </w:numPr>
        <w:pStyle w:val="Compact"/>
      </w:pPr>
      <w:r>
        <w:rPr>
          <w:bCs/>
          <w:b/>
        </w:rPr>
        <w:t xml:space="preserve">Retention:</w:t>
      </w:r>
      <w:r>
        <w:t xml:space="preserve"> </w:t>
      </w:r>
      <w:r>
        <w:t xml:space="preserve">As per legal and regulatory requirements</w:t>
      </w:r>
    </w:p>
    <w:p>
      <w:pPr>
        <w:pStyle w:val="BlockText"/>
      </w:pPr>
      <w:r>
        <w:rPr>
          <w:bCs/>
          <w:b/>
        </w:rPr>
        <w:t xml:space="preserve">VAGUE REQUIREMENTS:</w:t>
      </w:r>
      <w:r>
        <w:t xml:space="preserve"> </w:t>
      </w:r>
      <w:r>
        <w:t xml:space="preserve">“</w:t>
      </w:r>
      <w:r>
        <w:t xml:space="preserve">Approved systems</w:t>
      </w:r>
      <w:r>
        <w:t xml:space="preserve">”</w:t>
      </w:r>
      <w:r>
        <w:t xml:space="preserve"> </w:t>
      </w:r>
      <w:r>
        <w:t xml:space="preserve">not defined - could refer to any</w:t>
      </w:r>
      <w:r>
        <w:t xml:space="preserve"> </w:t>
      </w:r>
      <w:r>
        <w:t xml:space="preserve">system approved by any authority.</w:t>
      </w:r>
    </w:p>
    <w:bookmarkEnd w:id="37"/>
    <w:bookmarkStart w:id="38" w:name="restricted-information"/>
    <w:p>
      <w:pPr>
        <w:pStyle w:val="Heading3"/>
      </w:pPr>
      <w:r>
        <w:t xml:space="preserve">RESTRICTED Information</w:t>
      </w:r>
    </w:p>
    <w:p>
      <w:pPr>
        <w:numPr>
          <w:ilvl w:val="0"/>
          <w:numId w:val="1017"/>
        </w:numPr>
        <w:pStyle w:val="Compact"/>
      </w:pPr>
      <w:r>
        <w:rPr>
          <w:bCs/>
          <w:b/>
        </w:rPr>
        <w:t xml:space="preserve">Storage:</w:t>
      </w:r>
      <w:r>
        <w:t xml:space="preserve"> </w:t>
      </w:r>
      <w:r>
        <w:t xml:space="preserve">Segregated systems with advanced encryption and key management</w:t>
      </w:r>
    </w:p>
    <w:p>
      <w:pPr>
        <w:numPr>
          <w:ilvl w:val="0"/>
          <w:numId w:val="1017"/>
        </w:numPr>
        <w:pStyle w:val="Compact"/>
      </w:pPr>
      <w:r>
        <w:rPr>
          <w:bCs/>
          <w:b/>
        </w:rPr>
        <w:t xml:space="preserve">Access:</w:t>
      </w:r>
      <w:r>
        <w:t xml:space="preserve"> </w:t>
      </w:r>
      <w:r>
        <w:t xml:space="preserve">Multi-factor authentication and need-to-know basis only</w:t>
      </w:r>
    </w:p>
    <w:p>
      <w:pPr>
        <w:numPr>
          <w:ilvl w:val="0"/>
          <w:numId w:val="1017"/>
        </w:numPr>
        <w:pStyle w:val="Compact"/>
      </w:pPr>
      <w:r>
        <w:rPr>
          <w:bCs/>
          <w:b/>
        </w:rPr>
        <w:t xml:space="preserve">Transmission:</w:t>
      </w:r>
      <w:r>
        <w:t xml:space="preserve"> </w:t>
      </w:r>
      <w:r>
        <w:t xml:space="preserve">Encrypted channels with recipient verification</w:t>
      </w:r>
    </w:p>
    <w:p>
      <w:pPr>
        <w:numPr>
          <w:ilvl w:val="0"/>
          <w:numId w:val="1017"/>
        </w:numPr>
        <w:pStyle w:val="Compact"/>
      </w:pPr>
      <w:r>
        <w:rPr>
          <w:bCs/>
          <w:b/>
        </w:rPr>
        <w:t xml:space="preserve">Disposal:</w:t>
      </w:r>
      <w:r>
        <w:t xml:space="preserve"> </w:t>
      </w:r>
      <w:r>
        <w:t xml:space="preserve">Witnessed secure destruction with certificate</w:t>
      </w:r>
    </w:p>
    <w:p>
      <w:pPr>
        <w:numPr>
          <w:ilvl w:val="0"/>
          <w:numId w:val="1017"/>
        </w:numPr>
        <w:pStyle w:val="Compact"/>
      </w:pPr>
      <w:r>
        <w:rPr>
          <w:bCs/>
          <w:b/>
        </w:rPr>
        <w:t xml:space="preserve">Retention:</w:t>
      </w:r>
      <w:r>
        <w:t xml:space="preserve"> </w:t>
      </w:r>
      <w:r>
        <w:t xml:space="preserve">Explicit approval required for retention beyond minimum periods</w:t>
      </w:r>
    </w:p>
    <w:p>
      <w:pPr>
        <w:pStyle w:val="BlockText"/>
      </w:pPr>
      <w:r>
        <w:rPr>
          <w:bCs/>
          <w:b/>
        </w:rPr>
        <w:t xml:space="preserve">KEY MANAGEMENT GAP:</w:t>
      </w:r>
      <w:r>
        <w:t xml:space="preserve"> </w:t>
      </w:r>
      <w:r>
        <w:t xml:space="preserve">References</w:t>
      </w:r>
      <w:r>
        <w:t xml:space="preserve"> </w:t>
      </w:r>
      <w:r>
        <w:t xml:space="preserve">“</w:t>
      </w:r>
      <w:r>
        <w:t xml:space="preserve">key management</w:t>
      </w:r>
      <w:r>
        <w:t xml:space="preserve">”</w:t>
      </w:r>
      <w:r>
        <w:t xml:space="preserve"> </w:t>
      </w:r>
      <w:r>
        <w:t xml:space="preserve">but no link to key</w:t>
      </w:r>
      <w:r>
        <w:t xml:space="preserve"> </w:t>
      </w:r>
      <w:r>
        <w:t xml:space="preserve">management procedures or systems.</w:t>
      </w:r>
    </w:p>
    <w:bookmarkEnd w:id="38"/>
    <w:bookmarkEnd w:id="39"/>
    <w:bookmarkStart w:id="43" w:name="classification-procedures"/>
    <w:p>
      <w:pPr>
        <w:pStyle w:val="Heading2"/>
      </w:pPr>
      <w:r>
        <w:t xml:space="preserve">Classification Procedures</w:t>
      </w:r>
    </w:p>
    <w:bookmarkStart w:id="40" w:name="initial-classification"/>
    <w:p>
      <w:pPr>
        <w:pStyle w:val="Heading3"/>
      </w:pPr>
      <w:r>
        <w:t xml:space="preserve">Initial Classification</w:t>
      </w:r>
    </w:p>
    <w:p>
      <w:pPr>
        <w:numPr>
          <w:ilvl w:val="0"/>
          <w:numId w:val="1018"/>
        </w:numPr>
        <w:pStyle w:val="Compact"/>
      </w:pPr>
      <w:r>
        <w:t xml:space="preserve">Data creator or acquirer performs initial sensitivity assessment</w:t>
      </w:r>
    </w:p>
    <w:p>
      <w:pPr>
        <w:numPr>
          <w:ilvl w:val="0"/>
          <w:numId w:val="1018"/>
        </w:numPr>
        <w:pStyle w:val="Compact"/>
      </w:pPr>
      <w:r>
        <w:t xml:space="preserve">Apply classification using decision tree (see Appendix A)</w:t>
      </w:r>
    </w:p>
    <w:p>
      <w:pPr>
        <w:numPr>
          <w:ilvl w:val="0"/>
          <w:numId w:val="1018"/>
        </w:numPr>
        <w:pStyle w:val="Compact"/>
      </w:pPr>
      <w:r>
        <w:t xml:space="preserve">Consult with Data Owner if classification unclear</w:t>
      </w:r>
    </w:p>
    <w:p>
      <w:pPr>
        <w:numPr>
          <w:ilvl w:val="0"/>
          <w:numId w:val="1018"/>
        </w:numPr>
        <w:pStyle w:val="Compact"/>
      </w:pPr>
      <w:r>
        <w:t xml:space="preserve">Document classification decision and rationale</w:t>
      </w:r>
    </w:p>
    <w:p>
      <w:pPr>
        <w:numPr>
          <w:ilvl w:val="0"/>
          <w:numId w:val="1018"/>
        </w:numPr>
        <w:pStyle w:val="Compact"/>
      </w:pPr>
      <w:r>
        <w:t xml:space="preserve">Apply appropriate labels and controls</w:t>
      </w:r>
    </w:p>
    <w:p>
      <w:pPr>
        <w:pStyle w:val="BlockText"/>
      </w:pPr>
      <w:r>
        <w:rPr>
          <w:bCs/>
          <w:b/>
        </w:rPr>
        <w:t xml:space="preserve">MISSING APPENDIX:</w:t>
      </w:r>
      <w:r>
        <w:t xml:space="preserve"> </w:t>
      </w:r>
      <w:r>
        <w:t xml:space="preserve">References</w:t>
      </w:r>
      <w:r>
        <w:t xml:space="preserve"> </w:t>
      </w:r>
      <w:r>
        <w:t xml:space="preserve">“</w:t>
      </w:r>
      <w:r>
        <w:t xml:space="preserve">Appendix A</w:t>
      </w:r>
      <w:r>
        <w:t xml:space="preserve">”</w:t>
      </w:r>
      <w:r>
        <w:t xml:space="preserve"> </w:t>
      </w:r>
      <w:r>
        <w:t xml:space="preserve">decision tree but no appendix included in policy.</w:t>
      </w:r>
    </w:p>
    <w:bookmarkEnd w:id="40"/>
    <w:bookmarkStart w:id="41" w:name="periodic-review"/>
    <w:p>
      <w:pPr>
        <w:pStyle w:val="Heading3"/>
      </w:pPr>
      <w:r>
        <w:t xml:space="preserve">Periodic Review</w:t>
      </w:r>
    </w:p>
    <w:p>
      <w:pPr>
        <w:numPr>
          <w:ilvl w:val="0"/>
          <w:numId w:val="1019"/>
        </w:numPr>
        <w:pStyle w:val="Compact"/>
      </w:pPr>
      <w:r>
        <w:t xml:space="preserve">Data Owners conduct annual review of all classified information</w:t>
      </w:r>
    </w:p>
    <w:p>
      <w:pPr>
        <w:numPr>
          <w:ilvl w:val="0"/>
          <w:numId w:val="1019"/>
        </w:numPr>
        <w:pStyle w:val="Compact"/>
      </w:pPr>
      <w:r>
        <w:t xml:space="preserve">Reassess sensitivity based on current business context</w:t>
      </w:r>
    </w:p>
    <w:p>
      <w:pPr>
        <w:numPr>
          <w:ilvl w:val="0"/>
          <w:numId w:val="1019"/>
        </w:numPr>
        <w:pStyle w:val="Compact"/>
      </w:pPr>
      <w:r>
        <w:t xml:space="preserve">Update classification if required and document changes</w:t>
      </w:r>
    </w:p>
    <w:p>
      <w:pPr>
        <w:numPr>
          <w:ilvl w:val="0"/>
          <w:numId w:val="1019"/>
        </w:numPr>
        <w:pStyle w:val="Compact"/>
      </w:pPr>
      <w:r>
        <w:t xml:space="preserve">Notify IT Department of any control requirement changes</w:t>
      </w:r>
    </w:p>
    <w:p>
      <w:pPr>
        <w:numPr>
          <w:ilvl w:val="0"/>
          <w:numId w:val="1019"/>
        </w:numPr>
        <w:pStyle w:val="Compact"/>
      </w:pPr>
      <w:r>
        <w:t xml:space="preserve">Update labels and access controls as needed</w:t>
      </w:r>
    </w:p>
    <w:p>
      <w:pPr>
        <w:pStyle w:val="BlockText"/>
      </w:pPr>
      <w:r>
        <w:rPr>
          <w:bCs/>
          <w:b/>
        </w:rPr>
        <w:t xml:space="preserve">REVIEW SCHEDULING:</w:t>
      </w:r>
      <w:r>
        <w:t xml:space="preserve"> </w:t>
      </w:r>
      <w:r>
        <w:t xml:space="preserve">Annual review may be insufficient for rapidly changing</w:t>
      </w:r>
      <w:r>
        <w:t xml:space="preserve"> </w:t>
      </w:r>
      <w:r>
        <w:t xml:space="preserve">data sensitivity in technology environments.</w:t>
      </w:r>
    </w:p>
    <w:bookmarkEnd w:id="41"/>
    <w:bookmarkStart w:id="42" w:name="classification-changes"/>
    <w:p>
      <w:pPr>
        <w:pStyle w:val="Heading3"/>
      </w:pPr>
      <w:r>
        <w:t xml:space="preserve">Classification Changes</w:t>
      </w:r>
    </w:p>
    <w:p>
      <w:pPr>
        <w:numPr>
          <w:ilvl w:val="0"/>
          <w:numId w:val="1020"/>
        </w:numPr>
        <w:pStyle w:val="Compact"/>
      </w:pPr>
      <w:r>
        <w:t xml:space="preserve">Only Data Owners may authorise classification changes</w:t>
      </w:r>
    </w:p>
    <w:p>
      <w:pPr>
        <w:numPr>
          <w:ilvl w:val="0"/>
          <w:numId w:val="1020"/>
        </w:numPr>
        <w:pStyle w:val="Compact"/>
      </w:pPr>
      <w:r>
        <w:t xml:space="preserve">Changes must be documented with business justification</w:t>
      </w:r>
    </w:p>
    <w:p>
      <w:pPr>
        <w:numPr>
          <w:ilvl w:val="0"/>
          <w:numId w:val="1020"/>
        </w:numPr>
        <w:pStyle w:val="Compact"/>
      </w:pPr>
      <w:r>
        <w:t xml:space="preserve">Upgraded classifications require immediate control implementation</w:t>
      </w:r>
    </w:p>
    <w:p>
      <w:pPr>
        <w:numPr>
          <w:ilvl w:val="0"/>
          <w:numId w:val="1020"/>
        </w:numPr>
        <w:pStyle w:val="Compact"/>
      </w:pPr>
      <w:r>
        <w:t xml:space="preserve">Downgraded classifications require 30-day waiting period</w:t>
      </w:r>
    </w:p>
    <w:p>
      <w:pPr>
        <w:numPr>
          <w:ilvl w:val="0"/>
          <w:numId w:val="1020"/>
        </w:numPr>
        <w:pStyle w:val="Compact"/>
      </w:pPr>
      <w:r>
        <w:t xml:space="preserve">All changes subject to Data Protection Officer approval</w:t>
      </w:r>
    </w:p>
    <w:p>
      <w:pPr>
        <w:pStyle w:val="BlockText"/>
      </w:pPr>
      <w:r>
        <w:rPr>
          <w:bCs/>
          <w:b/>
        </w:rPr>
        <w:t xml:space="preserve">WAITING PERIOD RATIONALE:</w:t>
      </w:r>
      <w:r>
        <w:t xml:space="preserve"> </w:t>
      </w:r>
      <w:r>
        <w:t xml:space="preserve">30-day waiting period for downgrades not justified</w:t>
      </w:r>
      <w:r>
        <w:t xml:space="preserve"> </w:t>
      </w:r>
      <w:r>
        <w:t xml:space="preserve">and may impact business operations unnecessarily.</w:t>
      </w:r>
    </w:p>
    <w:bookmarkEnd w:id="42"/>
    <w:bookmarkEnd w:id="43"/>
    <w:bookmarkStart w:id="48" w:name="handling-requirements"/>
    <w:p>
      <w:pPr>
        <w:pStyle w:val="Heading2"/>
      </w:pPr>
      <w:r>
        <w:t xml:space="preserve">Handling Requirements</w:t>
      </w:r>
    </w:p>
    <w:bookmarkStart w:id="44" w:name="labelling-standards"/>
    <w:p>
      <w:pPr>
        <w:pStyle w:val="Heading3"/>
      </w:pPr>
      <w:r>
        <w:t xml:space="preserve">Labelling Standards</w:t>
      </w:r>
    </w:p>
    <w:p>
      <w:pPr>
        <w:numPr>
          <w:ilvl w:val="0"/>
          <w:numId w:val="1021"/>
        </w:numPr>
        <w:pStyle w:val="Compact"/>
      </w:pPr>
      <w:r>
        <w:t xml:space="preserve">Physical documents must display classification marking in header and footer</w:t>
      </w:r>
    </w:p>
    <w:p>
      <w:pPr>
        <w:numPr>
          <w:ilvl w:val="0"/>
          <w:numId w:val="1021"/>
        </w:numPr>
        <w:pStyle w:val="Compact"/>
      </w:pPr>
      <w:r>
        <w:t xml:space="preserve">Electronic files must include classification in filename or metadata</w:t>
      </w:r>
    </w:p>
    <w:p>
      <w:pPr>
        <w:numPr>
          <w:ilvl w:val="0"/>
          <w:numId w:val="1021"/>
        </w:numPr>
        <w:pStyle w:val="Compact"/>
      </w:pPr>
      <w:r>
        <w:t xml:space="preserve">Email containing classified information must include classification in subject line</w:t>
      </w:r>
    </w:p>
    <w:p>
      <w:pPr>
        <w:numPr>
          <w:ilvl w:val="0"/>
          <w:numId w:val="1021"/>
        </w:numPr>
        <w:pStyle w:val="Compact"/>
      </w:pPr>
      <w:r>
        <w:t xml:space="preserve">Presentations must display classification on each slide</w:t>
      </w:r>
    </w:p>
    <w:p>
      <w:pPr>
        <w:pStyle w:val="BlockText"/>
      </w:pPr>
      <w:r>
        <w:rPr>
          <w:bCs/>
          <w:b/>
        </w:rPr>
        <w:t xml:space="preserve">METADATA INCONSISTENCY:</w:t>
      </w:r>
      <w:r>
        <w:t xml:space="preserve"> </w:t>
      </w:r>
      <w:r>
        <w:t xml:space="preserve">Some systems don’t support metadata classification,</w:t>
      </w:r>
      <w:r>
        <w:t xml:space="preserve"> </w:t>
      </w:r>
      <w:r>
        <w:t xml:space="preserve">creating compliance gaps.</w:t>
      </w:r>
    </w:p>
    <w:bookmarkEnd w:id="44"/>
    <w:bookmarkStart w:id="45" w:name="storage-requirements"/>
    <w:p>
      <w:pPr>
        <w:pStyle w:val="Heading3"/>
      </w:pPr>
      <w:r>
        <w:t xml:space="preserve">Storage Requirements</w:t>
      </w:r>
    </w:p>
    <w:p>
      <w:pPr>
        <w:numPr>
          <w:ilvl w:val="0"/>
          <w:numId w:val="1022"/>
        </w:numPr>
        <w:pStyle w:val="Compact"/>
      </w:pPr>
      <w:r>
        <w:t xml:space="preserve">CONFIDENTIAL and RESTRICTED data must be stored in approved secure locations</w:t>
      </w:r>
    </w:p>
    <w:p>
      <w:pPr>
        <w:numPr>
          <w:ilvl w:val="0"/>
          <w:numId w:val="1022"/>
        </w:numPr>
        <w:pStyle w:val="Compact"/>
      </w:pPr>
      <w:r>
        <w:t xml:space="preserve">Personal devices may not store CONFIDENTIAL or RESTRICTED information</w:t>
      </w:r>
    </w:p>
    <w:p>
      <w:pPr>
        <w:numPr>
          <w:ilvl w:val="0"/>
          <w:numId w:val="1022"/>
        </w:numPr>
        <w:pStyle w:val="Compact"/>
      </w:pPr>
      <w:r>
        <w:t xml:space="preserve">Cloud storage requires pre-approval for INTERNAL and above classifications</w:t>
      </w:r>
    </w:p>
    <w:p>
      <w:pPr>
        <w:numPr>
          <w:ilvl w:val="0"/>
          <w:numId w:val="1022"/>
        </w:numPr>
        <w:pStyle w:val="Compact"/>
      </w:pPr>
      <w:r>
        <w:t xml:space="preserve">Backup systems must maintain equivalent classification protection</w:t>
      </w:r>
    </w:p>
    <w:p>
      <w:pPr>
        <w:pStyle w:val="BlockText"/>
      </w:pPr>
      <w:r>
        <w:rPr>
          <w:bCs/>
          <w:b/>
        </w:rPr>
        <w:t xml:space="preserve">PERSONAL DEVICE CONFLICT:</w:t>
      </w:r>
      <w:r>
        <w:t xml:space="preserve"> </w:t>
      </w:r>
      <w:r>
        <w:t xml:space="preserve">Prohibition on personal devices conflicts with</w:t>
      </w:r>
      <w:r>
        <w:t xml:space="preserve"> </w:t>
      </w:r>
      <w:r>
        <w:t xml:space="preserve">BYOD policy POL-BYOD-001 which allows managed personal device access.</w:t>
      </w:r>
    </w:p>
    <w:bookmarkEnd w:id="45"/>
    <w:bookmarkStart w:id="46" w:name="transmission-requirements"/>
    <w:p>
      <w:pPr>
        <w:pStyle w:val="Heading3"/>
      </w:pPr>
      <w:r>
        <w:t xml:space="preserve">Transmission Requirements</w:t>
      </w:r>
    </w:p>
    <w:p>
      <w:pPr>
        <w:numPr>
          <w:ilvl w:val="0"/>
          <w:numId w:val="1023"/>
        </w:numPr>
        <w:pStyle w:val="Compact"/>
      </w:pPr>
      <w:r>
        <w:t xml:space="preserve">PUBLIC information may use any transmission method</w:t>
      </w:r>
    </w:p>
    <w:p>
      <w:pPr>
        <w:numPr>
          <w:ilvl w:val="0"/>
          <w:numId w:val="1023"/>
        </w:numPr>
        <w:pStyle w:val="Compact"/>
      </w:pPr>
      <w:r>
        <w:t xml:space="preserve">INTERNAL information requires encrypted email or secure file transfer</w:t>
      </w:r>
    </w:p>
    <w:p>
      <w:pPr>
        <w:numPr>
          <w:ilvl w:val="0"/>
          <w:numId w:val="1023"/>
        </w:numPr>
        <w:pStyle w:val="Compact"/>
      </w:pPr>
      <w:r>
        <w:t xml:space="preserve">CONFIDENTIAL information requires end-to-end encryption</w:t>
      </w:r>
    </w:p>
    <w:p>
      <w:pPr>
        <w:numPr>
          <w:ilvl w:val="0"/>
          <w:numId w:val="1023"/>
        </w:numPr>
        <w:pStyle w:val="Compact"/>
      </w:pPr>
      <w:r>
        <w:t xml:space="preserve">RESTRICTED information requires recipient identity verification</w:t>
      </w:r>
    </w:p>
    <w:p>
      <w:pPr>
        <w:pStyle w:val="BlockText"/>
      </w:pPr>
      <w:r>
        <w:rPr>
          <w:bCs/>
          <w:b/>
        </w:rPr>
        <w:t xml:space="preserve">ENCRYPTION SPECIFICATIONS:</w:t>
      </w:r>
      <w:r>
        <w:t xml:space="preserve"> </w:t>
      </w:r>
      <w:r>
        <w:t xml:space="preserve">Policy specifies encryption requirement but</w:t>
      </w:r>
      <w:r>
        <w:t xml:space="preserve"> </w:t>
      </w:r>
      <w:r>
        <w:t xml:space="preserve">doesn’t define acceptable encryption standards or key lengths.</w:t>
      </w:r>
    </w:p>
    <w:bookmarkEnd w:id="46"/>
    <w:bookmarkStart w:id="47" w:name="access-controls"/>
    <w:p>
      <w:pPr>
        <w:pStyle w:val="Heading3"/>
      </w:pPr>
      <w:r>
        <w:t xml:space="preserve">Access Controls</w:t>
      </w:r>
    </w:p>
    <w:p>
      <w:pPr>
        <w:numPr>
          <w:ilvl w:val="0"/>
          <w:numId w:val="1024"/>
        </w:numPr>
        <w:pStyle w:val="Compact"/>
      </w:pPr>
      <w:r>
        <w:t xml:space="preserve">Access granted on need-to-know basis determined by Data Owner</w:t>
      </w:r>
    </w:p>
    <w:p>
      <w:pPr>
        <w:numPr>
          <w:ilvl w:val="0"/>
          <w:numId w:val="1024"/>
        </w:numPr>
        <w:pStyle w:val="Compact"/>
      </w:pPr>
      <w:r>
        <w:t xml:space="preserve">CONFIDENTIAL access requires manager approval</w:t>
      </w:r>
    </w:p>
    <w:p>
      <w:pPr>
        <w:numPr>
          <w:ilvl w:val="0"/>
          <w:numId w:val="1024"/>
        </w:numPr>
        <w:pStyle w:val="Compact"/>
      </w:pPr>
      <w:r>
        <w:t xml:space="preserve">RESTRICTED access requires Data Protection Officer approval</w:t>
      </w:r>
    </w:p>
    <w:p>
      <w:pPr>
        <w:numPr>
          <w:ilvl w:val="0"/>
          <w:numId w:val="1024"/>
        </w:numPr>
        <w:pStyle w:val="Compact"/>
      </w:pPr>
      <w:r>
        <w:t xml:space="preserve">Guest and contractor access requires additional approval levels</w:t>
      </w:r>
    </w:p>
    <w:p>
      <w:pPr>
        <w:pStyle w:val="BlockText"/>
      </w:pPr>
      <w:r>
        <w:rPr>
          <w:bCs/>
          <w:b/>
        </w:rPr>
        <w:t xml:space="preserve">APPROVAL HIERARCHY CONFUSION:</w:t>
      </w:r>
      <w:r>
        <w:t xml:space="preserve"> </w:t>
      </w:r>
      <w:r>
        <w:t xml:space="preserve">Multiple approval authorities with unclear</w:t>
      </w:r>
      <w:r>
        <w:t xml:space="preserve"> </w:t>
      </w:r>
      <w:r>
        <w:t xml:space="preserve">precedence and no escalation procedures defined.</w:t>
      </w:r>
    </w:p>
    <w:bookmarkEnd w:id="47"/>
    <w:bookmarkEnd w:id="48"/>
    <w:bookmarkStart w:id="52" w:name="compliance-and-enforcement"/>
    <w:p>
      <w:pPr>
        <w:pStyle w:val="Heading2"/>
      </w:pPr>
      <w:r>
        <w:t xml:space="preserve">Compliance and Enforcement</w:t>
      </w:r>
    </w:p>
    <w:bookmarkStart w:id="49" w:name="monitoring"/>
    <w:p>
      <w:pPr>
        <w:pStyle w:val="Heading3"/>
      </w:pPr>
      <w:r>
        <w:t xml:space="preserve">Monitoring</w:t>
      </w:r>
    </w:p>
    <w:p>
      <w:pPr>
        <w:numPr>
          <w:ilvl w:val="0"/>
          <w:numId w:val="1025"/>
        </w:numPr>
        <w:pStyle w:val="Compact"/>
      </w:pPr>
      <w:r>
        <w:t xml:space="preserve">Automated tools monitor for classification violations</w:t>
      </w:r>
    </w:p>
    <w:p>
      <w:pPr>
        <w:numPr>
          <w:ilvl w:val="0"/>
          <w:numId w:val="1025"/>
        </w:numPr>
        <w:pStyle w:val="Compact"/>
      </w:pPr>
      <w:r>
        <w:t xml:space="preserve">Regular audits conducted by Internal Audit team</w:t>
      </w:r>
    </w:p>
    <w:p>
      <w:pPr>
        <w:numPr>
          <w:ilvl w:val="0"/>
          <w:numId w:val="1025"/>
        </w:numPr>
        <w:pStyle w:val="Compact"/>
      </w:pPr>
      <w:r>
        <w:t xml:space="preserve">Data Loss Prevention (DLP) systems enforce transmission controls</w:t>
      </w:r>
    </w:p>
    <w:p>
      <w:pPr>
        <w:numPr>
          <w:ilvl w:val="0"/>
          <w:numId w:val="1025"/>
        </w:numPr>
        <w:pStyle w:val="Compact"/>
      </w:pPr>
      <w:r>
        <w:t xml:space="preserve">Access logging for CONFIDENTIAL and RESTRICTED information</w:t>
      </w:r>
    </w:p>
    <w:p>
      <w:pPr>
        <w:pStyle w:val="BlockText"/>
      </w:pPr>
      <w:r>
        <w:rPr>
          <w:bCs/>
          <w:b/>
        </w:rPr>
        <w:t xml:space="preserve">DLP IMPLEMENTATION:</w:t>
      </w:r>
      <w:r>
        <w:t xml:space="preserve"> </w:t>
      </w:r>
      <w:r>
        <w:t xml:space="preserve">References DLP systems but current technology inventory</w:t>
      </w:r>
      <w:r>
        <w:t xml:space="preserve"> </w:t>
      </w:r>
      <w:r>
        <w:t xml:space="preserve">shows no DLP solution deployed.</w:t>
      </w:r>
    </w:p>
    <w:bookmarkEnd w:id="49"/>
    <w:bookmarkStart w:id="50" w:name="violations"/>
    <w:p>
      <w:pPr>
        <w:pStyle w:val="Heading3"/>
      </w:pPr>
      <w:r>
        <w:t xml:space="preserve">Violations</w:t>
      </w:r>
    </w:p>
    <w:p>
      <w:pPr>
        <w:numPr>
          <w:ilvl w:val="0"/>
          <w:numId w:val="1026"/>
        </w:numPr>
        <w:pStyle w:val="Compact"/>
      </w:pPr>
      <w:r>
        <w:t xml:space="preserve">Minor violations: Corrective training and documentation</w:t>
      </w:r>
    </w:p>
    <w:p>
      <w:pPr>
        <w:numPr>
          <w:ilvl w:val="0"/>
          <w:numId w:val="1026"/>
        </w:numPr>
        <w:pStyle w:val="Compact"/>
      </w:pPr>
      <w:r>
        <w:t xml:space="preserve">Major violations: Disciplinary action and security review</w:t>
      </w:r>
    </w:p>
    <w:p>
      <w:pPr>
        <w:numPr>
          <w:ilvl w:val="0"/>
          <w:numId w:val="1026"/>
        </w:numPr>
        <w:pStyle w:val="Compact"/>
      </w:pPr>
      <w:r>
        <w:t xml:space="preserve">Repeated violations: Access suspension and formal investigation</w:t>
      </w:r>
    </w:p>
    <w:p>
      <w:pPr>
        <w:numPr>
          <w:ilvl w:val="0"/>
          <w:numId w:val="1026"/>
        </w:numPr>
        <w:pStyle w:val="Compact"/>
      </w:pPr>
      <w:r>
        <w:t xml:space="preserve">Criminal activity: Law enforcement notification</w:t>
      </w:r>
    </w:p>
    <w:p>
      <w:pPr>
        <w:pStyle w:val="BlockText"/>
      </w:pPr>
      <w:r>
        <w:rPr>
          <w:bCs/>
          <w:b/>
        </w:rPr>
        <w:t xml:space="preserve">VIOLATION DEFINITIONS:</w:t>
      </w:r>
      <w:r>
        <w:t xml:space="preserve"> </w:t>
      </w:r>
      <w:r>
        <w:t xml:space="preserve">No clear criteria distinguish</w:t>
      </w:r>
      <w:r>
        <w:t xml:space="preserve"> </w:t>
      </w:r>
      <w:r>
        <w:t xml:space="preserve">“</w:t>
      </w:r>
      <w:r>
        <w:t xml:space="preserve">minor</w:t>
      </w:r>
      <w:r>
        <w:t xml:space="preserve">”</w:t>
      </w:r>
      <w:r>
        <w:t xml:space="preserve"> </w:t>
      </w:r>
      <w:r>
        <w:t xml:space="preserve">from</w:t>
      </w:r>
      <w:r>
        <w:t xml:space="preserve"> </w:t>
      </w:r>
      <w:r>
        <w:t xml:space="preserve">“</w:t>
      </w:r>
      <w:r>
        <w:t xml:space="preserve">major</w:t>
      </w:r>
      <w:r>
        <w:t xml:space="preserve">”</w:t>
      </w:r>
      <w:r>
        <w:t xml:space="preserve"> </w:t>
      </w:r>
      <w:r>
        <w:t xml:space="preserve">violations.</w:t>
      </w:r>
    </w:p>
    <w:bookmarkEnd w:id="50"/>
    <w:bookmarkStart w:id="51" w:name="exceptions"/>
    <w:p>
      <w:pPr>
        <w:pStyle w:val="Heading3"/>
      </w:pPr>
      <w:r>
        <w:t xml:space="preserve">Exceptions</w:t>
      </w:r>
    </w:p>
    <w:p>
      <w:pPr>
        <w:numPr>
          <w:ilvl w:val="0"/>
          <w:numId w:val="1027"/>
        </w:numPr>
        <w:pStyle w:val="Compact"/>
      </w:pPr>
      <w:r>
        <w:t xml:space="preserve">Temporary exceptions may be granted by Data Protection Officer</w:t>
      </w:r>
    </w:p>
    <w:p>
      <w:pPr>
        <w:numPr>
          <w:ilvl w:val="0"/>
          <w:numId w:val="1027"/>
        </w:numPr>
        <w:pStyle w:val="Compact"/>
      </w:pPr>
      <w:r>
        <w:t xml:space="preserve">Emergency access procedures override normal controls</w:t>
      </w:r>
    </w:p>
    <w:p>
      <w:pPr>
        <w:numPr>
          <w:ilvl w:val="0"/>
          <w:numId w:val="1027"/>
        </w:numPr>
        <w:pStyle w:val="Compact"/>
      </w:pPr>
      <w:r>
        <w:t xml:space="preserve">Legal discovery requirements supersede classification restrictions</w:t>
      </w:r>
    </w:p>
    <w:p>
      <w:pPr>
        <w:numPr>
          <w:ilvl w:val="0"/>
          <w:numId w:val="1027"/>
        </w:numPr>
        <w:pStyle w:val="Compact"/>
      </w:pPr>
      <w:r>
        <w:t xml:space="preserve">Regulatory investigations receive full cooperation</w:t>
      </w:r>
    </w:p>
    <w:p>
      <w:pPr>
        <w:pStyle w:val="BlockText"/>
      </w:pPr>
      <w:r>
        <w:rPr>
          <w:bCs/>
          <w:b/>
        </w:rPr>
        <w:t xml:space="preserve">EMERGENCY ACCESS:</w:t>
      </w:r>
      <w:r>
        <w:t xml:space="preserve"> </w:t>
      </w:r>
      <w:r>
        <w:t xml:space="preserve">Emergency access procedures referenced but not defined elsewhere in policy.</w:t>
      </w:r>
    </w:p>
    <w:bookmarkEnd w:id="51"/>
    <w:bookmarkEnd w:id="52"/>
    <w:bookmarkStart w:id="56" w:name="integration-with-other-policies"/>
    <w:p>
      <w:pPr>
        <w:pStyle w:val="Heading2"/>
      </w:pPr>
      <w:r>
        <w:t xml:space="preserve">Integration with Other Policies</w:t>
      </w:r>
    </w:p>
    <w:bookmarkStart w:id="53" w:name="access-control-policy"/>
    <w:p>
      <w:pPr>
        <w:pStyle w:val="Heading3"/>
      </w:pPr>
      <w:r>
        <w:t xml:space="preserve">Access Control Policy</w:t>
      </w:r>
    </w:p>
    <w:p>
      <w:pPr>
        <w:numPr>
          <w:ilvl w:val="0"/>
          <w:numId w:val="1028"/>
        </w:numPr>
        <w:pStyle w:val="Compact"/>
      </w:pPr>
      <w:r>
        <w:t xml:space="preserve">Classification levels inform RBAC implementation</w:t>
      </w:r>
    </w:p>
    <w:p>
      <w:pPr>
        <w:numPr>
          <w:ilvl w:val="0"/>
          <w:numId w:val="1028"/>
        </w:numPr>
        <w:pStyle w:val="Compact"/>
      </w:pPr>
      <w:r>
        <w:t xml:space="preserve">Multi-factor authentication requirements align with RESTRICTED data access</w:t>
      </w:r>
    </w:p>
    <w:p>
      <w:pPr>
        <w:numPr>
          <w:ilvl w:val="0"/>
          <w:numId w:val="1028"/>
        </w:numPr>
        <w:pStyle w:val="Compact"/>
      </w:pPr>
      <w:r>
        <w:t xml:space="preserve">Session timeout requirements vary by classification level</w:t>
      </w:r>
    </w:p>
    <w:p>
      <w:pPr>
        <w:pStyle w:val="BlockText"/>
      </w:pPr>
      <w:r>
        <w:rPr>
          <w:bCs/>
          <w:b/>
        </w:rPr>
        <w:t xml:space="preserve">TIMEOUT INCONSISTENCY:</w:t>
      </w:r>
      <w:r>
        <w:t xml:space="preserve"> </w:t>
      </w:r>
      <w:r>
        <w:t xml:space="preserve">Session timeout</w:t>
      </w:r>
      <w:r>
        <w:t xml:space="preserve"> </w:t>
      </w:r>
      <w:r>
        <w:t xml:space="preserve">“</w:t>
      </w:r>
      <w:r>
        <w:t xml:space="preserve">varies by classification</w:t>
      </w:r>
      <w:r>
        <w:t xml:space="preserve">”</w:t>
      </w:r>
      <w:r>
        <w:t xml:space="preserve"> </w:t>
      </w:r>
      <w:r>
        <w:t xml:space="preserve">but</w:t>
      </w:r>
      <w:r>
        <w:t xml:space="preserve"> </w:t>
      </w:r>
      <w:r>
        <w:t xml:space="preserve">specific timeouts not defined here or in Access Control Policy.</w:t>
      </w:r>
    </w:p>
    <w:bookmarkEnd w:id="53"/>
    <w:bookmarkStart w:id="54" w:name="incident-response-policy"/>
    <w:p>
      <w:pPr>
        <w:pStyle w:val="Heading3"/>
      </w:pPr>
      <w:r>
        <w:t xml:space="preserve">Incident Response Policy</w:t>
      </w:r>
    </w:p>
    <w:p>
      <w:pPr>
        <w:numPr>
          <w:ilvl w:val="0"/>
          <w:numId w:val="1029"/>
        </w:numPr>
        <w:pStyle w:val="Compact"/>
      </w:pPr>
      <w:r>
        <w:t xml:space="preserve">Classification level determines incident severity assessment</w:t>
      </w:r>
    </w:p>
    <w:p>
      <w:pPr>
        <w:numPr>
          <w:ilvl w:val="0"/>
          <w:numId w:val="1029"/>
        </w:numPr>
        <w:pStyle w:val="Compact"/>
      </w:pPr>
      <w:r>
        <w:t xml:space="preserve">Data breach notification requirements based on affected classification</w:t>
      </w:r>
    </w:p>
    <w:p>
      <w:pPr>
        <w:numPr>
          <w:ilvl w:val="0"/>
          <w:numId w:val="1029"/>
        </w:numPr>
        <w:pStyle w:val="Compact"/>
      </w:pPr>
      <w:r>
        <w:t xml:space="preserve">Recovery priorities consider data classification impact</w:t>
      </w:r>
    </w:p>
    <w:bookmarkEnd w:id="54"/>
    <w:bookmarkStart w:id="55" w:name="data-retention-policy"/>
    <w:p>
      <w:pPr>
        <w:pStyle w:val="Heading3"/>
      </w:pPr>
      <w:r>
        <w:t xml:space="preserve">Data Retention Policy</w:t>
      </w:r>
    </w:p>
    <w:p>
      <w:pPr>
        <w:numPr>
          <w:ilvl w:val="0"/>
          <w:numId w:val="1030"/>
        </w:numPr>
        <w:pStyle w:val="Compact"/>
      </w:pPr>
      <w:r>
        <w:t xml:space="preserve">Retention periods may vary by classification level</w:t>
      </w:r>
    </w:p>
    <w:p>
      <w:pPr>
        <w:numPr>
          <w:ilvl w:val="0"/>
          <w:numId w:val="1030"/>
        </w:numPr>
        <w:pStyle w:val="Compact"/>
      </w:pPr>
      <w:r>
        <w:t xml:space="preserve">Secure disposal requirements aligned with classification controls</w:t>
      </w:r>
    </w:p>
    <w:p>
      <w:pPr>
        <w:numPr>
          <w:ilvl w:val="0"/>
          <w:numId w:val="1030"/>
        </w:numPr>
        <w:pStyle w:val="Compact"/>
      </w:pPr>
      <w:r>
        <w:t xml:space="preserve">Legal hold procedures consider classification requirements</w:t>
      </w:r>
    </w:p>
    <w:p>
      <w:pPr>
        <w:pStyle w:val="BlockText"/>
      </w:pPr>
      <w:r>
        <w:rPr>
          <w:bCs/>
          <w:b/>
        </w:rPr>
        <w:t xml:space="preserve">POLICY DEPENDENCY:</w:t>
      </w:r>
      <w:r>
        <w:t xml:space="preserve"> </w:t>
      </w:r>
      <w:r>
        <w:t xml:space="preserve">Multiple dependencies on other policies that are</w:t>
      </w:r>
      <w:r>
        <w:t xml:space="preserve"> </w:t>
      </w:r>
      <w:r>
        <w:t xml:space="preserve">themselves under review or contain conflicting requirements.</w:t>
      </w:r>
    </w:p>
    <w:bookmarkEnd w:id="55"/>
    <w:bookmarkEnd w:id="56"/>
    <w:bookmarkStart w:id="59" w:name="training-and-awareness"/>
    <w:p>
      <w:pPr>
        <w:pStyle w:val="Heading2"/>
      </w:pPr>
      <w:r>
        <w:t xml:space="preserve">Training and Awareness</w:t>
      </w:r>
    </w:p>
    <w:bookmarkStart w:id="57" w:name="initial-training"/>
    <w:p>
      <w:pPr>
        <w:pStyle w:val="Heading3"/>
      </w:pPr>
      <w:r>
        <w:t xml:space="preserve">Initial Training</w:t>
      </w:r>
    </w:p>
    <w:p>
      <w:pPr>
        <w:numPr>
          <w:ilvl w:val="0"/>
          <w:numId w:val="1031"/>
        </w:numPr>
        <w:pStyle w:val="Compact"/>
      </w:pPr>
      <w:r>
        <w:t xml:space="preserve">All personnel complete data classification training during onboarding</w:t>
      </w:r>
    </w:p>
    <w:p>
      <w:pPr>
        <w:numPr>
          <w:ilvl w:val="0"/>
          <w:numId w:val="1031"/>
        </w:numPr>
        <w:pStyle w:val="Compact"/>
      </w:pPr>
      <w:r>
        <w:t xml:space="preserve">Role-specific training for Data Owners and Custodians</w:t>
      </w:r>
    </w:p>
    <w:p>
      <w:pPr>
        <w:numPr>
          <w:ilvl w:val="0"/>
          <w:numId w:val="1031"/>
        </w:numPr>
        <w:pStyle w:val="Compact"/>
      </w:pPr>
      <w:r>
        <w:t xml:space="preserve">Annual refresher training for all staff</w:t>
      </w:r>
    </w:p>
    <w:p>
      <w:pPr>
        <w:numPr>
          <w:ilvl w:val="0"/>
          <w:numId w:val="1031"/>
        </w:numPr>
        <w:pStyle w:val="Compact"/>
      </w:pPr>
      <w:r>
        <w:t xml:space="preserve">Specialised training for handling RESTRICTED information</w:t>
      </w:r>
    </w:p>
    <w:bookmarkEnd w:id="57"/>
    <w:bookmarkStart w:id="58" w:name="ongoing-awareness"/>
    <w:p>
      <w:pPr>
        <w:pStyle w:val="Heading3"/>
      </w:pPr>
      <w:r>
        <w:t xml:space="preserve">Ongoing Awareness</w:t>
      </w:r>
    </w:p>
    <w:p>
      <w:pPr>
        <w:numPr>
          <w:ilvl w:val="0"/>
          <w:numId w:val="1032"/>
        </w:numPr>
        <w:pStyle w:val="Compact"/>
      </w:pPr>
      <w:r>
        <w:t xml:space="preserve">Quarterly reminders about classification requirements</w:t>
      </w:r>
    </w:p>
    <w:p>
      <w:pPr>
        <w:numPr>
          <w:ilvl w:val="0"/>
          <w:numId w:val="1032"/>
        </w:numPr>
        <w:pStyle w:val="Compact"/>
      </w:pPr>
      <w:r>
        <w:t xml:space="preserve">Case studies of classification violations and lessons learned</w:t>
      </w:r>
    </w:p>
    <w:p>
      <w:pPr>
        <w:numPr>
          <w:ilvl w:val="0"/>
          <w:numId w:val="1032"/>
        </w:numPr>
        <w:pStyle w:val="Compact"/>
      </w:pPr>
      <w:r>
        <w:t xml:space="preserve">Regular updates on regulatory changes affecting classification</w:t>
      </w:r>
    </w:p>
    <w:p>
      <w:pPr>
        <w:numPr>
          <w:ilvl w:val="0"/>
          <w:numId w:val="1032"/>
        </w:numPr>
        <w:pStyle w:val="Compact"/>
      </w:pPr>
      <w:r>
        <w:t xml:space="preserve">Recognition program for exemplary classification compliance</w:t>
      </w:r>
    </w:p>
    <w:p>
      <w:pPr>
        <w:pStyle w:val="BlockText"/>
      </w:pPr>
      <w:r>
        <w:rPr>
          <w:bCs/>
          <w:b/>
        </w:rPr>
        <w:t xml:space="preserve">TRAINING TRACKING:</w:t>
      </w:r>
      <w:r>
        <w:t xml:space="preserve"> </w:t>
      </w:r>
      <w:r>
        <w:t xml:space="preserve">No system specified for tracking training completion</w:t>
      </w:r>
      <w:r>
        <w:t xml:space="preserve"> </w:t>
      </w:r>
      <w:r>
        <w:t xml:space="preserve">or measuring effectiveness of training programs.</w:t>
      </w:r>
    </w:p>
    <w:bookmarkEnd w:id="58"/>
    <w:bookmarkEnd w:id="59"/>
    <w:bookmarkStart w:id="60" w:name="review-and-updates"/>
    <w:p>
      <w:pPr>
        <w:pStyle w:val="Heading2"/>
      </w:pPr>
      <w:r>
        <w:t xml:space="preserve">Review and Updates</w:t>
      </w:r>
    </w:p>
    <w:p>
      <w:pPr>
        <w:pStyle w:val="FirstParagraph"/>
      </w:pPr>
      <w:r>
        <w:t xml:space="preserve">This policy will be reviewed annually or when:</w:t>
      </w:r>
      <w:r>
        <w:t xml:space="preserve"> </w:t>
      </w:r>
      <w:r>
        <w:t xml:space="preserve">- Regulatory requirements change</w:t>
      </w:r>
      <w:r>
        <w:t xml:space="preserve"> </w:t>
      </w:r>
      <w:r>
        <w:t xml:space="preserve">- Business model or client base significantly changes</w:t>
      </w:r>
      <w:r>
        <w:br/>
      </w:r>
      <w:r>
        <w:t xml:space="preserve">- Major security incidents involving classified information</w:t>
      </w:r>
      <w:r>
        <w:t xml:space="preserve"> </w:t>
      </w:r>
      <w:r>
        <w:t xml:space="preserve">- Technology changes affect classification controls</w:t>
      </w:r>
    </w:p>
    <w:p>
      <w:pPr>
        <w:pStyle w:val="BlockText"/>
      </w:pPr>
      <w:r>
        <w:rPr>
          <w:bCs/>
          <w:b/>
        </w:rPr>
        <w:t xml:space="preserve">REVIEW TRIGGERS:</w:t>
      </w:r>
      <w:r>
        <w:t xml:space="preserve"> </w:t>
      </w:r>
      <w:r>
        <w:t xml:space="preserve">Review triggers are appropriate but no specific timeline</w:t>
      </w:r>
      <w:r>
        <w:t xml:space="preserve"> </w:t>
      </w:r>
      <w:r>
        <w:t xml:space="preserve">or process defined for conducting reviews.</w:t>
      </w:r>
    </w:p>
    <w:p>
      <w:pPr>
        <w:pStyle w:val="FirstParagraph"/>
      </w:pPr>
      <w:r>
        <w:t xml:space="preserve">Policy updates require approval from:</w:t>
      </w:r>
      <w:r>
        <w:t xml:space="preserve"> </w:t>
      </w:r>
      <w:r>
        <w:t xml:space="preserve">- Data Protection Officer (technical changes)</w:t>
      </w:r>
      <w:r>
        <w:t xml:space="preserve"> </w:t>
      </w:r>
      <w:r>
        <w:t xml:space="preserve">- Legal team (regulatory compliance changes)</w:t>
      </w:r>
      <w:r>
        <w:t xml:space="preserve"> </w:t>
      </w:r>
      <w:r>
        <w:t xml:space="preserve">- Chief Information Officer (significant control changes)</w:t>
      </w:r>
      <w:r>
        <w:t xml:space="preserve"> </w:t>
      </w:r>
      <w:r>
        <w:t xml:space="preserve">- Board approval (policy framework changes)</w:t>
      </w:r>
    </w:p>
    <w:p>
      <w:pPr>
        <w:pStyle w:val="BlockText"/>
      </w:pPr>
      <w:r>
        <w:rPr>
          <w:bCs/>
          <w:b/>
        </w:rPr>
        <w:t xml:space="preserve">APPROVAL HIERARCHY:</w:t>
      </w:r>
      <w:r>
        <w:t xml:space="preserve"> </w:t>
      </w:r>
      <w:r>
        <w:t xml:space="preserve">Complex approval process may delay urgent updates</w:t>
      </w:r>
      <w:r>
        <w:t xml:space="preserve"> </w:t>
      </w:r>
      <w:r>
        <w:t xml:space="preserve">needed for regulatory compliance.</w:t>
      </w:r>
    </w:p>
    <w:p>
      <w:r>
        <w:pict>
          <v:rect style="width:0;height:1.5pt" o:hralign="center" o:hrstd="t" o:hr="t"/>
        </w:pict>
      </w:r>
    </w:p>
    <w:p>
      <w:pPr>
        <w:pStyle w:val="BlockText"/>
      </w:pPr>
      <w:r>
        <w:rPr>
          <w:bCs/>
          <w:b/>
        </w:rPr>
        <w:t xml:space="preserve">IMPLEMENTATION STATUS:</w:t>
      </w:r>
      <w:r>
        <w:t xml:space="preserve"> </w:t>
      </w:r>
      <w:r>
        <w:t xml:space="preserve">This policy is pending final approval and implementation.</w:t>
      </w:r>
      <w:r>
        <w:t xml:space="preserve"> </w:t>
      </w:r>
      <w:r>
        <w:t xml:space="preserve">Current data handling practices may not fully align with classification requirements.</w:t>
      </w:r>
      <w:r>
        <w:t xml:space="preserve"> </w:t>
      </w:r>
      <w:r>
        <w:t xml:space="preserve">A comprehensive gap analysis and implementation plan is required before enforcement.</w:t>
      </w:r>
    </w:p>
    <w:p>
      <w:pPr>
        <w:pStyle w:val="BlockText"/>
      </w:pPr>
      <w:r>
        <w:rPr>
          <w:bCs/>
          <w:b/>
        </w:rPr>
        <w:t xml:space="preserve">KNOWN ISSUES:</w:t>
      </w:r>
      <w:r>
        <w:t xml:space="preserve"> </w:t>
      </w:r>
      <w:r>
        <w:t xml:space="preserve">- Inconsistent terminology and requirements across related policies</w:t>
      </w:r>
      <w:r>
        <w:t xml:space="preserve"> </w:t>
      </w:r>
      <w:r>
        <w:t xml:space="preserve">- Missing technical implementation details and system specifications</w:t>
      </w:r>
      <w:r>
        <w:br/>
      </w:r>
      <w:r>
        <w:t xml:space="preserve">- Unclear roles and responsibilities with conflicting authority assignments</w:t>
      </w:r>
      <w:r>
        <w:t xml:space="preserve"> </w:t>
      </w:r>
      <w:r>
        <w:t xml:space="preserve">- Incomplete integration with existing security and access control systems</w:t>
      </w:r>
      <w:r>
        <w:t xml:space="preserve"> </w:t>
      </w:r>
      <w:r>
        <w:t xml:space="preserve">- Training and compliance monitoring systems not fully defined</w:t>
      </w:r>
    </w:p>
    <w:p>
      <w:pPr>
        <w:pStyle w:val="BlockText"/>
      </w:pPr>
      <w:r>
        <w:rPr>
          <w:bCs/>
          <w:b/>
        </w:rPr>
        <w:t xml:space="preserve">RISK ASSESSMENT:</w:t>
      </w:r>
      <w:r>
        <w:t xml:space="preserve"> </w:t>
      </w:r>
      <w:r>
        <w:t xml:space="preserve">Current draft status creates uncertainty about data handling</w:t>
      </w:r>
      <w:r>
        <w:t xml:space="preserve"> </w:t>
      </w:r>
      <w:r>
        <w:t xml:space="preserve">requirements and may impact regulatory compliance obligations. Prioritise completion</w:t>
      </w:r>
      <w:r>
        <w:t xml:space="preserve"> </w:t>
      </w:r>
      <w:r>
        <w:t xml:space="preserve">and approval to address governance and compliance gaps.</w:t>
      </w:r>
    </w:p>
    <w:bookmarkEnd w:id="6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731">
    <w:nsid w:val="A99731"/>
    <w:multiLevelType w:val="multilevel"/>
    <w:lvl w:ilvl="0">
      <w:start w:val="1"/>
      <w:numFmt w:val="lowerLetter"/>
      <w:lvlText w:val="(%1)"/>
      <w:lvlJc w:val="left"/>
      <w:pPr>
        <w:ind w:left="720" w:hanging="480"/>
      </w:pPr>
    </w:lvl>
    <w:lvl w:ilvl="1">
      <w:start w:val="1"/>
      <w:numFmt w:val="lowerLetter"/>
      <w:lvlText w:val="(%2)"/>
      <w:lvlJc w:val="left"/>
      <w:pPr>
        <w:ind w:left="1440" w:hanging="480"/>
      </w:pPr>
    </w:lvl>
    <w:lvl w:ilvl="2">
      <w:start w:val="1"/>
      <w:numFmt w:val="lowerLetter"/>
      <w:lvlText w:val="(%3)"/>
      <w:lvlJc w:val="left"/>
      <w:pPr>
        <w:ind w:left="2160" w:hanging="480"/>
      </w:pPr>
    </w:lvl>
    <w:lvl w:ilvl="3">
      <w:start w:val="1"/>
      <w:numFmt w:val="lowerLetter"/>
      <w:lvlText w:val="(%4)"/>
      <w:lvlJc w:val="left"/>
      <w:pPr>
        <w:ind w:left="2880" w:hanging="480"/>
      </w:pPr>
    </w:lvl>
    <w:lvl w:ilvl="4">
      <w:start w:val="1"/>
      <w:numFmt w:val="lowerLetter"/>
      <w:lvlText w:val="(%5)"/>
      <w:lvlJc w:val="left"/>
      <w:pPr>
        <w:ind w:left="3600" w:hanging="480"/>
      </w:pPr>
    </w:lvl>
    <w:lvl w:ilvl="5">
      <w:start w:val="1"/>
      <w:numFmt w:val="lowerLetter"/>
      <w:lvlText w:val="(%6)"/>
      <w:lvlJc w:val="left"/>
      <w:pPr>
        <w:ind w:left="4320" w:hanging="480"/>
      </w:pPr>
    </w:lvl>
    <w:lvl w:ilvl="6">
      <w:start w:val="1"/>
      <w:numFmt w:val="lowerLetter"/>
      <w:lvlText w:val="(%7)"/>
      <w:lvlJc w:val="left"/>
      <w:pPr>
        <w:ind w:left="5040" w:hanging="480"/>
      </w:pPr>
    </w:lvl>
    <w:lvl w:ilvl="7">
      <w:start w:val="1"/>
      <w:numFmt w:val="lowerLetter"/>
      <w:lvlText w:val="(%8)"/>
      <w:lvlJc w:val="left"/>
      <w:pPr>
        <w:ind w:left="5760" w:hanging="480"/>
      </w:pPr>
    </w:lvl>
    <w:lvl w:ilvl="8">
      <w:start w:val="1"/>
      <w:numFmt w:val="lowerLetter"/>
      <w:lvlText w:val="(%9)"/>
      <w:lvlJc w:val="left"/>
      <w:pPr>
        <w:ind w:left="6480" w:hanging="480"/>
      </w:pPr>
    </w:lvl>
  </w:abstractNum>
  <w:abstractNum w:abstractNumId="99735">
    <w:nsid w:val="A99735"/>
    <w:multiLevelType w:val="multilevel"/>
    <w:lvl w:ilvl="0">
      <w:start w:val="5"/>
      <w:numFmt w:val="lowerLetter"/>
      <w:lvlText w:val="(%1)"/>
      <w:lvlJc w:val="left"/>
      <w:pPr>
        <w:ind w:left="720" w:hanging="480"/>
      </w:pPr>
    </w:lvl>
    <w:lvl w:ilvl="1">
      <w:start w:val="5"/>
      <w:numFmt w:val="lowerLetter"/>
      <w:lvlText w:val="(%2)"/>
      <w:lvlJc w:val="left"/>
      <w:pPr>
        <w:ind w:left="1440" w:hanging="480"/>
      </w:pPr>
    </w:lvl>
    <w:lvl w:ilvl="2">
      <w:start w:val="5"/>
      <w:numFmt w:val="lowerLetter"/>
      <w:lvlText w:val="(%3)"/>
      <w:lvlJc w:val="left"/>
      <w:pPr>
        <w:ind w:left="2160" w:hanging="480"/>
      </w:pPr>
    </w:lvl>
    <w:lvl w:ilvl="3">
      <w:start w:val="5"/>
      <w:numFmt w:val="lowerLetter"/>
      <w:lvlText w:val="(%4)"/>
      <w:lvlJc w:val="left"/>
      <w:pPr>
        <w:ind w:left="2880" w:hanging="480"/>
      </w:pPr>
    </w:lvl>
    <w:lvl w:ilvl="4">
      <w:start w:val="5"/>
      <w:numFmt w:val="lowerLetter"/>
      <w:lvlText w:val="(%5)"/>
      <w:lvlJc w:val="left"/>
      <w:pPr>
        <w:ind w:left="3600" w:hanging="480"/>
      </w:pPr>
    </w:lvl>
    <w:lvl w:ilvl="5">
      <w:start w:val="5"/>
      <w:numFmt w:val="lowerLetter"/>
      <w:lvlText w:val="(%6)"/>
      <w:lvlJc w:val="left"/>
      <w:pPr>
        <w:ind w:left="4320" w:hanging="480"/>
      </w:pPr>
    </w:lvl>
    <w:lvl w:ilvl="6">
      <w:start w:val="5"/>
      <w:numFmt w:val="lowerLetter"/>
      <w:lvlText w:val="(%7)"/>
      <w:lvlJc w:val="left"/>
      <w:pPr>
        <w:ind w:left="5040" w:hanging="480"/>
      </w:pPr>
    </w:lvl>
    <w:lvl w:ilvl="7">
      <w:start w:val="5"/>
      <w:numFmt w:val="lowerLetter"/>
      <w:lvlText w:val="(%8)"/>
      <w:lvlJc w:val="left"/>
      <w:pPr>
        <w:ind w:left="5760" w:hanging="480"/>
      </w:pPr>
    </w:lvl>
    <w:lvl w:ilvl="8">
      <w:start w:val="5"/>
      <w:numFmt w:val="lowerLetter"/>
      <w:lvlText w:val="(%9)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73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color w:val="d73a49"/>
      <w:b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color w:val="ff5555"/>
      <w:b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Classification Policy</dc:title>
  <dc:creator/>
  <dc:description>CloudCore data classification policy establishes a systematic approach to categorising information assets based on their sensitivity, criticality, and regulatory requirements to ensure appropriate protection measures are applied.</dc:description>
  <cp:keywords/>
  <dcterms:created xsi:type="dcterms:W3CDTF">2025-09-15T21:31:53Z</dcterms:created>
  <dcterms:modified xsi:type="dcterms:W3CDTF">2025-09-15T21:31:53Z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ategorie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resources">
    <vt:lpwstr/>
  </property>
  <property fmtid="{D5CDD505-2E9C-101B-9397-08002B2CF9AE}" pid="9" name="toc-title">
    <vt:lpwstr>Table of contents</vt:lpwstr>
  </property>
</Properties>
</file>